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WEEK 3 TASK</w:t>
      </w:r>
    </w:p>
    <w:p>
      <w:pPr>
        <w:jc w:val="center"/>
      </w:pPr>
      <w:r>
        <w:rPr>
          <w:rFonts w:ascii="Arial" w:hAnsi="Arial"/>
          <w:b/>
          <w:sz w:val="38"/>
        </w:rPr>
        <w:t>Incident Response Plan &amp;</w:t>
        <w:br/>
        <w:t>Cyber Threat Intelligence Analysis</w:t>
      </w:r>
    </w:p>
    <w:p/>
    <w:p>
      <w:pPr>
        <w:jc w:val="center"/>
      </w:pPr>
      <w:r>
        <w:rPr>
          <w:b/>
          <w:sz w:val="24"/>
        </w:rPr>
        <w:t xml:space="preserve">Name: </w:t>
      </w:r>
      <w:r>
        <w:rPr>
          <w:sz w:val="24"/>
        </w:rPr>
        <w:t>Kajal Saini</w:t>
      </w:r>
    </w:p>
    <w:p>
      <w:pPr>
        <w:jc w:val="center"/>
      </w:pPr>
      <w:r>
        <w:rPr>
          <w:b/>
          <w:sz w:val="24"/>
        </w:rPr>
        <w:t xml:space="preserve">Organization/College: </w:t>
      </w:r>
      <w:r>
        <w:rPr>
          <w:sz w:val="24"/>
        </w:rPr>
        <w:t>Maya Devi University</w:t>
      </w:r>
    </w:p>
    <w:p>
      <w:pPr>
        <w:jc w:val="center"/>
      </w:pPr>
      <w:r>
        <w:rPr>
          <w:b/>
          <w:sz w:val="24"/>
        </w:rPr>
        <w:t xml:space="preserve">Internship Area: </w:t>
      </w:r>
      <w:r>
        <w:rPr>
          <w:sz w:val="24"/>
        </w:rPr>
        <w:t>Cyber Security</w:t>
      </w:r>
    </w:p>
    <w:p>
      <w:pPr>
        <w:jc w:val="center"/>
      </w:pPr>
      <w:r>
        <w:rPr>
          <w:b/>
          <w:sz w:val="24"/>
        </w:rPr>
        <w:t xml:space="preserve">Date: </w:t>
      </w:r>
      <w:r>
        <w:rPr>
          <w:sz w:val="24"/>
        </w:rPr>
        <w:t>17 September 2026</w:t>
      </w:r>
    </w:p>
    <w:p/>
    <w:p>
      <w:pPr>
        <w:jc w:val="center"/>
      </w:pPr>
      <w:r>
        <w:rPr>
          <w:i/>
          <w:sz w:val="20"/>
        </w:rPr>
        <w:t>Enhanced submission version — structured against the task objectives and evaluation criteria</w:t>
      </w:r>
    </w:p>
    <w:p>
      <w:r>
        <w:br w:type="page"/>
      </w:r>
    </w:p>
    <w:p>
      <w:pPr>
        <w:pStyle w:val="Heading1"/>
      </w:pPr>
      <w:r>
        <w:t>1. Executive Summary</w:t>
      </w:r>
    </w:p>
    <w:p>
      <w:r>
        <w:t>This report develops a practical incident response plan and preliminary Cyber Threat Intelligence (CTI) analysis for a generic e-governance digital services environment. Such an environment may include citizen portals, mobile applications, APIs, identity and access systems, databases, cloud or on-premises infrastructure, security monitoring platforms, backups, and third-party service providers. A cyber incident affecting these components can interrupt essential digital services, expose information, compromise integrity, create financial or operational consequences, and reduce public trust.</w:t>
      </w:r>
    </w:p>
    <w:p>
      <w:r>
        <w:t>The plan is aligned with current public cybersecurity guidance. NIST finalized SP 800-61 Revision 3 in April 2025; the publication supersedes Revision 2 and integrates incident response into broader cybersecurity risk management under the NIST Cybersecurity Framework 2.0. CISA provides standardized incident and vulnerability response playbook practices, while CERT-In publishes India-specific directions concerning information-security practices, prevention, response, and reporting of cyber incidents. These sources are used as reference points rather than as claims about the security posture of any specific government organization.</w:t>
      </w:r>
    </w:p>
    <w:p>
      <w:r>
        <w:t>The proposed response capability follows a repeatable lifecycle: preparation; detection and analysis; containment; eradication; recovery; and post-incident improvement. The CTI component covers credential compromise, web/API exploitation, ransomware or destructive malware, denial-of-service, supply-chain compromise, exploitation of unpatched vulnerabilities, and unauthorized data access. The report converts CTI into practical defensive actions such as monitoring priorities, vulnerability tickets, escalation decisions, and response playbooks.</w:t>
      </w:r>
    </w:p>
    <w:p>
      <w:pPr>
        <w:pStyle w:val="Heading1"/>
      </w:pPr>
      <w:r>
        <w:t>2. Task Requirement-to-Report Mapping</w:t>
      </w:r>
    </w:p>
    <w:p>
      <w:r>
        <w:t>The following mapping makes each major requirement visible to the evaluator and shows the corresponding output included in this report.</w:t>
      </w:r>
    </w:p>
    <w:tbl>
      <w:tblPr>
        <w:tblStyle w:val="TableGrid"/>
        <w:tblW w:type="auto" w:w="0"/>
        <w:jc w:val="center"/>
        <w:tblLook w:firstColumn="1" w:firstRow="1" w:lastColumn="0" w:lastRow="0" w:noHBand="0" w:noVBand="1" w:val="04A0"/>
      </w:tblPr>
      <w:tblGrid>
        <w:gridCol w:w="3312"/>
        <w:gridCol w:w="3312"/>
        <w:gridCol w:w="3312"/>
      </w:tblGrid>
      <w:tr>
        <w:tc>
          <w:tcPr>
            <w:tcW w:type="dxa" w:w="4032"/>
            <w:vAlign w:val="center"/>
            <w:shd w:fill="D9EAF7"/>
          </w:tcPr>
          <w:p>
            <w:pPr>
              <w:jc w:val="left"/>
            </w:pPr>
            <w:r/>
            <w:r>
              <w:rPr>
                <w:rFonts w:ascii="Arial" w:hAnsi="Arial"/>
                <w:b/>
                <w:sz w:val="17"/>
              </w:rPr>
              <w:t>Task Requirement</w:t>
            </w:r>
          </w:p>
        </w:tc>
        <w:tc>
          <w:tcPr>
            <w:tcW w:type="dxa" w:w="1872"/>
            <w:vAlign w:val="center"/>
            <w:shd w:fill="D9EAF7"/>
          </w:tcPr>
          <w:p>
            <w:pPr>
              <w:jc w:val="left"/>
            </w:pPr>
            <w:r/>
            <w:r>
              <w:rPr>
                <w:rFonts w:ascii="Arial" w:hAnsi="Arial"/>
                <w:b/>
                <w:sz w:val="17"/>
              </w:rPr>
              <w:t>Where Addressed</w:t>
            </w:r>
          </w:p>
        </w:tc>
        <w:tc>
          <w:tcPr>
            <w:tcW w:type="dxa" w:w="4032"/>
            <w:vAlign w:val="center"/>
            <w:shd w:fill="D9EAF7"/>
          </w:tcPr>
          <w:p>
            <w:pPr>
              <w:jc w:val="left"/>
            </w:pPr>
            <w:r/>
            <w:r>
              <w:rPr>
                <w:rFonts w:ascii="Arial" w:hAnsi="Arial"/>
                <w:b/>
                <w:sz w:val="17"/>
              </w:rPr>
              <w:t>Evidence / Output</w:t>
            </w:r>
          </w:p>
        </w:tc>
      </w:tr>
      <w:tr>
        <w:tc>
          <w:tcPr>
            <w:tcW w:type="dxa" w:w="4032"/>
            <w:vAlign w:val="center"/>
          </w:tcPr>
          <w:p>
            <w:pPr>
              <w:jc w:val="left"/>
            </w:pPr>
            <w:r/>
            <w:r>
              <w:rPr>
                <w:rFonts w:ascii="Arial" w:hAnsi="Arial"/>
                <w:b w:val="0"/>
                <w:sz w:val="17"/>
              </w:rPr>
              <w:t>Incident response plan</w:t>
            </w:r>
          </w:p>
        </w:tc>
        <w:tc>
          <w:tcPr>
            <w:tcW w:type="dxa" w:w="1872"/>
            <w:vAlign w:val="center"/>
          </w:tcPr>
          <w:p>
            <w:pPr>
              <w:jc w:val="left"/>
            </w:pPr>
            <w:r/>
            <w:r>
              <w:rPr>
                <w:rFonts w:ascii="Arial" w:hAnsi="Arial"/>
                <w:b w:val="0"/>
                <w:sz w:val="17"/>
              </w:rPr>
              <w:t>Sections 5–11</w:t>
            </w:r>
          </w:p>
        </w:tc>
        <w:tc>
          <w:tcPr>
            <w:tcW w:type="dxa" w:w="4032"/>
            <w:vAlign w:val="center"/>
          </w:tcPr>
          <w:p>
            <w:pPr>
              <w:jc w:val="left"/>
            </w:pPr>
            <w:r/>
            <w:r>
              <w:rPr>
                <w:rFonts w:ascii="Arial" w:hAnsi="Arial"/>
                <w:b w:val="0"/>
                <w:sz w:val="17"/>
              </w:rPr>
              <w:t>Lifecycle, procedures, decision points and recovery steps</w:t>
            </w:r>
          </w:p>
        </w:tc>
      </w:tr>
      <w:tr>
        <w:tc>
          <w:tcPr>
            <w:tcW w:type="dxa" w:w="4032"/>
            <w:vAlign w:val="center"/>
          </w:tcPr>
          <w:p>
            <w:pPr>
              <w:jc w:val="left"/>
            </w:pPr>
            <w:r/>
            <w:r>
              <w:rPr>
                <w:rFonts w:ascii="Arial" w:hAnsi="Arial"/>
                <w:b w:val="0"/>
                <w:sz w:val="17"/>
              </w:rPr>
              <w:t>Step-by-step recovery procedures</w:t>
            </w:r>
          </w:p>
        </w:tc>
        <w:tc>
          <w:tcPr>
            <w:tcW w:type="dxa" w:w="1872"/>
            <w:vAlign w:val="center"/>
          </w:tcPr>
          <w:p>
            <w:pPr>
              <w:jc w:val="left"/>
            </w:pPr>
            <w:r/>
            <w:r>
              <w:rPr>
                <w:rFonts w:ascii="Arial" w:hAnsi="Arial"/>
                <w:b w:val="0"/>
                <w:sz w:val="17"/>
              </w:rPr>
              <w:t>Section 10</w:t>
            </w:r>
          </w:p>
        </w:tc>
        <w:tc>
          <w:tcPr>
            <w:tcW w:type="dxa" w:w="4032"/>
            <w:vAlign w:val="center"/>
          </w:tcPr>
          <w:p>
            <w:pPr>
              <w:jc w:val="left"/>
            </w:pPr>
            <w:r/>
            <w:r>
              <w:rPr>
                <w:rFonts w:ascii="Arial" w:hAnsi="Arial"/>
                <w:b w:val="0"/>
                <w:sz w:val="17"/>
              </w:rPr>
              <w:t>Recovery validation checklist and restoration sequence</w:t>
            </w:r>
          </w:p>
        </w:tc>
      </w:tr>
      <w:tr>
        <w:tc>
          <w:tcPr>
            <w:tcW w:type="dxa" w:w="4032"/>
            <w:vAlign w:val="center"/>
          </w:tcPr>
          <w:p>
            <w:pPr>
              <w:jc w:val="left"/>
            </w:pPr>
            <w:r/>
            <w:r>
              <w:rPr>
                <w:rFonts w:ascii="Arial" w:hAnsi="Arial"/>
                <w:b w:val="0"/>
                <w:sz w:val="17"/>
              </w:rPr>
              <w:t>Roles and responsibilities</w:t>
            </w:r>
          </w:p>
        </w:tc>
        <w:tc>
          <w:tcPr>
            <w:tcW w:type="dxa" w:w="1872"/>
            <w:vAlign w:val="center"/>
          </w:tcPr>
          <w:p>
            <w:pPr>
              <w:jc w:val="left"/>
            </w:pPr>
            <w:r/>
            <w:r>
              <w:rPr>
                <w:rFonts w:ascii="Arial" w:hAnsi="Arial"/>
                <w:b w:val="0"/>
                <w:sz w:val="17"/>
              </w:rPr>
              <w:t>Section 11</w:t>
            </w:r>
          </w:p>
        </w:tc>
        <w:tc>
          <w:tcPr>
            <w:tcW w:type="dxa" w:w="4032"/>
            <w:vAlign w:val="center"/>
          </w:tcPr>
          <w:p>
            <w:pPr>
              <w:jc w:val="left"/>
            </w:pPr>
            <w:r/>
            <w:r>
              <w:rPr>
                <w:rFonts w:ascii="Arial" w:hAnsi="Arial"/>
                <w:b w:val="0"/>
                <w:sz w:val="17"/>
              </w:rPr>
              <w:t>Detailed responsibility matrix and escalation ownership</w:t>
            </w:r>
          </w:p>
        </w:tc>
      </w:tr>
      <w:tr>
        <w:tc>
          <w:tcPr>
            <w:tcW w:type="dxa" w:w="4032"/>
            <w:vAlign w:val="center"/>
          </w:tcPr>
          <w:p>
            <w:pPr>
              <w:jc w:val="left"/>
            </w:pPr>
            <w:r/>
            <w:r>
              <w:rPr>
                <w:rFonts w:ascii="Arial" w:hAnsi="Arial"/>
                <w:b w:val="0"/>
                <w:sz w:val="17"/>
              </w:rPr>
              <w:t>Cyber threat intelligence analysis</w:t>
            </w:r>
          </w:p>
        </w:tc>
        <w:tc>
          <w:tcPr>
            <w:tcW w:type="dxa" w:w="1872"/>
            <w:vAlign w:val="center"/>
          </w:tcPr>
          <w:p>
            <w:pPr>
              <w:jc w:val="left"/>
            </w:pPr>
            <w:r/>
            <w:r>
              <w:rPr>
                <w:rFonts w:ascii="Arial" w:hAnsi="Arial"/>
                <w:b w:val="0"/>
                <w:sz w:val="17"/>
              </w:rPr>
              <w:t>Sections 12–15</w:t>
            </w:r>
          </w:p>
        </w:tc>
        <w:tc>
          <w:tcPr>
            <w:tcW w:type="dxa" w:w="4032"/>
            <w:vAlign w:val="center"/>
          </w:tcPr>
          <w:p>
            <w:pPr>
              <w:jc w:val="left"/>
            </w:pPr>
            <w:r/>
            <w:r>
              <w:rPr>
                <w:rFonts w:ascii="Arial" w:hAnsi="Arial"/>
                <w:b w:val="0"/>
                <w:sz w:val="17"/>
              </w:rPr>
              <w:t>Threat table, CTI workflow, confidence and action mapping</w:t>
            </w:r>
          </w:p>
        </w:tc>
      </w:tr>
      <w:tr>
        <w:tc>
          <w:tcPr>
            <w:tcW w:type="dxa" w:w="4032"/>
            <w:vAlign w:val="center"/>
          </w:tcPr>
          <w:p>
            <w:pPr>
              <w:jc w:val="left"/>
            </w:pPr>
            <w:r/>
            <w:r>
              <w:rPr>
                <w:rFonts w:ascii="Arial" w:hAnsi="Arial"/>
                <w:b w:val="0"/>
                <w:sz w:val="17"/>
              </w:rPr>
              <w:t>Attack vectors and recent threat considerations</w:t>
            </w:r>
          </w:p>
        </w:tc>
        <w:tc>
          <w:tcPr>
            <w:tcW w:type="dxa" w:w="1872"/>
            <w:vAlign w:val="center"/>
          </w:tcPr>
          <w:p>
            <w:pPr>
              <w:jc w:val="left"/>
            </w:pPr>
            <w:r/>
            <w:r>
              <w:rPr>
                <w:rFonts w:ascii="Arial" w:hAnsi="Arial"/>
                <w:b w:val="0"/>
                <w:sz w:val="17"/>
              </w:rPr>
              <w:t>Section 13</w:t>
            </w:r>
          </w:p>
        </w:tc>
        <w:tc>
          <w:tcPr>
            <w:tcW w:type="dxa" w:w="4032"/>
            <w:vAlign w:val="center"/>
          </w:tcPr>
          <w:p>
            <w:pPr>
              <w:jc w:val="left"/>
            </w:pPr>
            <w:r/>
            <w:r>
              <w:rPr>
                <w:rFonts w:ascii="Arial" w:hAnsi="Arial"/>
                <w:b w:val="0"/>
                <w:sz w:val="17"/>
              </w:rPr>
              <w:t>Threat/attack-vector analysis and dated public guidance</w:t>
            </w:r>
          </w:p>
        </w:tc>
      </w:tr>
      <w:tr>
        <w:tc>
          <w:tcPr>
            <w:tcW w:type="dxa" w:w="4032"/>
            <w:vAlign w:val="center"/>
          </w:tcPr>
          <w:p>
            <w:pPr>
              <w:jc w:val="left"/>
            </w:pPr>
            <w:r/>
            <w:r>
              <w:rPr>
                <w:rFonts w:ascii="Arial" w:hAnsi="Arial"/>
                <w:b w:val="0"/>
                <w:sz w:val="17"/>
              </w:rPr>
              <w:t>Vulnerability management</w:t>
            </w:r>
          </w:p>
        </w:tc>
        <w:tc>
          <w:tcPr>
            <w:tcW w:type="dxa" w:w="1872"/>
            <w:vAlign w:val="center"/>
          </w:tcPr>
          <w:p>
            <w:pPr>
              <w:jc w:val="left"/>
            </w:pPr>
            <w:r/>
            <w:r>
              <w:rPr>
                <w:rFonts w:ascii="Arial" w:hAnsi="Arial"/>
                <w:b w:val="0"/>
                <w:sz w:val="17"/>
              </w:rPr>
              <w:t>Section 16</w:t>
            </w:r>
          </w:p>
        </w:tc>
        <w:tc>
          <w:tcPr>
            <w:tcW w:type="dxa" w:w="4032"/>
            <w:vAlign w:val="center"/>
          </w:tcPr>
          <w:p>
            <w:pPr>
              <w:jc w:val="left"/>
            </w:pPr>
            <w:r/>
            <w:r>
              <w:rPr>
                <w:rFonts w:ascii="Arial" w:hAnsi="Arial"/>
                <w:b w:val="0"/>
                <w:sz w:val="17"/>
              </w:rPr>
              <w:t>CTI-to-vulnerability workflow and prioritization model</w:t>
            </w:r>
          </w:p>
        </w:tc>
      </w:tr>
      <w:tr>
        <w:tc>
          <w:tcPr>
            <w:tcW w:type="dxa" w:w="4032"/>
            <w:vAlign w:val="center"/>
          </w:tcPr>
          <w:p>
            <w:pPr>
              <w:jc w:val="left"/>
            </w:pPr>
            <w:r/>
            <w:r>
              <w:rPr>
                <w:rFonts w:ascii="Arial" w:hAnsi="Arial"/>
                <w:b w:val="0"/>
                <w:sz w:val="17"/>
              </w:rPr>
              <w:t>Detection techniques</w:t>
            </w:r>
          </w:p>
        </w:tc>
        <w:tc>
          <w:tcPr>
            <w:tcW w:type="dxa" w:w="1872"/>
            <w:vAlign w:val="center"/>
          </w:tcPr>
          <w:p>
            <w:pPr>
              <w:jc w:val="left"/>
            </w:pPr>
            <w:r/>
            <w:r>
              <w:rPr>
                <w:rFonts w:ascii="Arial" w:hAnsi="Arial"/>
                <w:b w:val="0"/>
                <w:sz w:val="17"/>
              </w:rPr>
              <w:t>Sections 7 and 14</w:t>
            </w:r>
          </w:p>
        </w:tc>
        <w:tc>
          <w:tcPr>
            <w:tcW w:type="dxa" w:w="4032"/>
            <w:vAlign w:val="center"/>
          </w:tcPr>
          <w:p>
            <w:pPr>
              <w:jc w:val="left"/>
            </w:pPr>
            <w:r/>
            <w:r>
              <w:rPr>
                <w:rFonts w:ascii="Arial" w:hAnsi="Arial"/>
                <w:b w:val="0"/>
                <w:sz w:val="17"/>
              </w:rPr>
              <w:t>SIEM, EDR, WAF/API, IAM, network/DNS and application telemetry</w:t>
            </w:r>
          </w:p>
        </w:tc>
      </w:tr>
      <w:tr>
        <w:tc>
          <w:tcPr>
            <w:tcW w:type="dxa" w:w="4032"/>
            <w:vAlign w:val="center"/>
          </w:tcPr>
          <w:p>
            <w:pPr>
              <w:jc w:val="left"/>
            </w:pPr>
            <w:r/>
            <w:r>
              <w:rPr>
                <w:rFonts w:ascii="Arial" w:hAnsi="Arial"/>
                <w:b w:val="0"/>
                <w:sz w:val="17"/>
              </w:rPr>
              <w:t>Public research/frameworks</w:t>
            </w:r>
          </w:p>
        </w:tc>
        <w:tc>
          <w:tcPr>
            <w:tcW w:type="dxa" w:w="1872"/>
            <w:vAlign w:val="center"/>
          </w:tcPr>
          <w:p>
            <w:pPr>
              <w:jc w:val="left"/>
            </w:pPr>
            <w:r/>
            <w:r>
              <w:rPr>
                <w:rFonts w:ascii="Arial" w:hAnsi="Arial"/>
                <w:b w:val="0"/>
                <w:sz w:val="17"/>
              </w:rPr>
              <w:t>Section 21</w:t>
            </w:r>
          </w:p>
        </w:tc>
        <w:tc>
          <w:tcPr>
            <w:tcW w:type="dxa" w:w="4032"/>
            <w:vAlign w:val="center"/>
          </w:tcPr>
          <w:p>
            <w:pPr>
              <w:jc w:val="left"/>
            </w:pPr>
            <w:r/>
            <w:r>
              <w:rPr>
                <w:rFonts w:ascii="Arial" w:hAnsi="Arial"/>
                <w:b w:val="0"/>
                <w:sz w:val="17"/>
              </w:rPr>
              <w:t>NIST, CISA, CERT-In and other public guidance</w:t>
            </w:r>
          </w:p>
        </w:tc>
      </w:tr>
      <w:tr>
        <w:tc>
          <w:tcPr>
            <w:tcW w:type="dxa" w:w="4032"/>
            <w:vAlign w:val="center"/>
          </w:tcPr>
          <w:p>
            <w:pPr>
              <w:jc w:val="left"/>
            </w:pPr>
            <w:r/>
            <w:r>
              <w:rPr>
                <w:rFonts w:ascii="Arial" w:hAnsi="Arial"/>
                <w:b w:val="0"/>
                <w:sz w:val="17"/>
              </w:rPr>
              <w:t>Practical e-governance application</w:t>
            </w:r>
          </w:p>
        </w:tc>
        <w:tc>
          <w:tcPr>
            <w:tcW w:type="dxa" w:w="1872"/>
            <w:vAlign w:val="center"/>
          </w:tcPr>
          <w:p>
            <w:pPr>
              <w:jc w:val="left"/>
            </w:pPr>
            <w:r/>
            <w:r>
              <w:rPr>
                <w:rFonts w:ascii="Arial" w:hAnsi="Arial"/>
                <w:b w:val="0"/>
                <w:sz w:val="17"/>
              </w:rPr>
              <w:t>Sections 6, 13, 17</w:t>
            </w:r>
          </w:p>
        </w:tc>
        <w:tc>
          <w:tcPr>
            <w:tcW w:type="dxa" w:w="4032"/>
            <w:vAlign w:val="center"/>
          </w:tcPr>
          <w:p>
            <w:pPr>
              <w:jc w:val="left"/>
            </w:pPr>
            <w:r/>
            <w:r>
              <w:rPr>
                <w:rFonts w:ascii="Arial" w:hAnsi="Arial"/>
                <w:b w:val="0"/>
                <w:sz w:val="17"/>
              </w:rPr>
              <w:t>Citizen impact, service continuity, third-party dependency and scenario</w:t>
            </w:r>
          </w:p>
        </w:tc>
      </w:tr>
      <w:tr>
        <w:tc>
          <w:tcPr>
            <w:tcW w:type="dxa" w:w="4032"/>
            <w:vAlign w:val="center"/>
          </w:tcPr>
          <w:p>
            <w:pPr>
              <w:jc w:val="left"/>
            </w:pPr>
            <w:r/>
            <w:r>
              <w:rPr>
                <w:rFonts w:ascii="Arial" w:hAnsi="Arial"/>
                <w:b w:val="0"/>
                <w:sz w:val="17"/>
              </w:rPr>
              <w:t>Evaluation: depth and clarity</w:t>
            </w:r>
          </w:p>
        </w:tc>
        <w:tc>
          <w:tcPr>
            <w:tcW w:type="dxa" w:w="1872"/>
            <w:vAlign w:val="center"/>
          </w:tcPr>
          <w:p>
            <w:pPr>
              <w:jc w:val="left"/>
            </w:pPr>
            <w:r/>
            <w:r>
              <w:rPr>
                <w:rFonts w:ascii="Arial" w:hAnsi="Arial"/>
                <w:b w:val="0"/>
                <w:sz w:val="17"/>
              </w:rPr>
              <w:t>Entire report</w:t>
            </w:r>
          </w:p>
        </w:tc>
        <w:tc>
          <w:tcPr>
            <w:tcW w:type="dxa" w:w="4032"/>
            <w:vAlign w:val="center"/>
          </w:tcPr>
          <w:p>
            <w:pPr>
              <w:jc w:val="left"/>
            </w:pPr>
            <w:r/>
            <w:r>
              <w:rPr>
                <w:rFonts w:ascii="Arial" w:hAnsi="Arial"/>
                <w:b w:val="0"/>
                <w:sz w:val="17"/>
              </w:rPr>
              <w:t>Tables, scenario, checklist, metrics and implementation roadmap</w:t>
            </w:r>
          </w:p>
        </w:tc>
      </w:tr>
    </w:tbl>
    <w:p/>
    <w:p>
      <w:pPr>
        <w:pStyle w:val="Heading1"/>
      </w:pPr>
      <w:r>
        <w:t>3. Introduction</w:t>
      </w:r>
    </w:p>
    <w:p>
      <w:r>
        <w:t>Incident response is the organized capability through which an organization prepares for cybersecurity events, detects and analyzes suspicious activity, limits harm, removes the cause of compromise, restores trusted services, and improves controls after the event. NIST's current SP 800-61 Rev. 3 emphasizes integrating incident response throughout cybersecurity risk management rather than treating it as an isolated activity.</w:t>
      </w:r>
    </w:p>
    <w:p>
      <w:r>
        <w:t>For e-governance, the response process must consider both cybersecurity and public-service continuity. A security decision that protects one component but unnecessarily disables a critical citizen service can create a different operational impact. Therefore, response decisions should consider confidentiality, integrity, availability, citizen impact, service criticality, legal or reporting requirements, evidence preservation, and dependencies.</w:t>
      </w:r>
    </w:p>
    <w:p>
      <w:pPr>
        <w:pStyle w:val="Heading2"/>
      </w:pPr>
      <w:r>
        <w:t>3.1 Objectives</w:t>
      </w:r>
    </w:p>
    <w:p>
      <w:pPr>
        <w:pStyle w:val="ListBullet"/>
        <w:spacing w:after="40"/>
      </w:pPr>
      <w:r>
        <w:t>Develop an implementable incident response framework for citizen-facing digital services.</w:t>
      </w:r>
    </w:p>
    <w:p>
      <w:pPr>
        <w:pStyle w:val="ListBullet"/>
        <w:spacing w:after="40"/>
      </w:pPr>
      <w:r>
        <w:t>Define preparation, detection, analysis, containment, eradication, recovery, and lessons-learned activities.</w:t>
      </w:r>
    </w:p>
    <w:p>
      <w:pPr>
        <w:pStyle w:val="ListBullet"/>
        <w:spacing w:after="40"/>
      </w:pPr>
      <w:r>
        <w:t>Assign clear responsibilities across security, technical, management, legal/compliance, communications, and vendor teams.</w:t>
      </w:r>
    </w:p>
    <w:p>
      <w:pPr>
        <w:pStyle w:val="ListBullet"/>
        <w:spacing w:after="40"/>
      </w:pPr>
      <w:r>
        <w:t>Identify relevant attack vectors and convert CTI into actionable defensive priorities.</w:t>
      </w:r>
    </w:p>
    <w:p>
      <w:pPr>
        <w:pStyle w:val="ListBullet"/>
        <w:spacing w:after="40"/>
      </w:pPr>
      <w:r>
        <w:t>Connect threat intelligence with vulnerability management, monitoring, escalation, and response playbooks.</w:t>
      </w:r>
    </w:p>
    <w:p>
      <w:pPr>
        <w:pStyle w:val="ListBullet"/>
        <w:spacing w:after="40"/>
      </w:pPr>
      <w:r>
        <w:t>Provide practical procedures that can be tested through tabletop and recovery exercises.</w:t>
      </w:r>
    </w:p>
    <w:p>
      <w:pPr>
        <w:pStyle w:val="ListBullet"/>
        <w:spacing w:after="40"/>
      </w:pPr>
      <w:r>
        <w:t>Support recommendations with current public cybersecurity frameworks and guidance.</w:t>
      </w:r>
    </w:p>
    <w:p>
      <w:pPr>
        <w:pStyle w:val="Heading2"/>
      </w:pPr>
      <w:r>
        <w:t>3.2 Scope and Assumptions</w:t>
      </w:r>
    </w:p>
    <w:p>
      <w:pPr>
        <w:pStyle w:val="ListBullet"/>
        <w:spacing w:after="40"/>
      </w:pPr>
      <w:r>
        <w:t>Generic citizen-facing web portals, mobile applications, APIs and authentication services.</w:t>
      </w:r>
    </w:p>
    <w:p>
      <w:pPr>
        <w:pStyle w:val="ListBullet"/>
        <w:spacing w:after="40"/>
      </w:pPr>
      <w:r>
        <w:t>Databases, cloud/on-premises infrastructure, networks, endpoints and security monitoring.</w:t>
      </w:r>
    </w:p>
    <w:p>
      <w:pPr>
        <w:pStyle w:val="ListBullet"/>
        <w:spacing w:after="40"/>
      </w:pPr>
      <w:r>
        <w:t>Backups, disaster-recovery capabilities and third-party technology/service providers.</w:t>
      </w:r>
    </w:p>
    <w:p>
      <w:pPr>
        <w:pStyle w:val="ListBullet"/>
        <w:spacing w:after="40"/>
      </w:pPr>
      <w:r>
        <w:t>The report does not claim that a particular government organization has any listed vulnerability.</w:t>
      </w:r>
    </w:p>
    <w:p>
      <w:pPr>
        <w:pStyle w:val="ListBullet"/>
        <w:spacing w:after="40"/>
      </w:pPr>
      <w:r>
        <w:t>Actual legal, contractual, reporting and evidence-handling requirements must be verified for the specific organization and incident.</w:t>
      </w:r>
    </w:p>
    <w:p>
      <w:pPr>
        <w:pStyle w:val="Heading1"/>
      </w:pPr>
      <w:r>
        <w:t>4. Reference Frameworks and Guidance</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D9EAF7"/>
          </w:tcPr>
          <w:p>
            <w:pPr>
              <w:jc w:val="left"/>
            </w:pPr>
            <w:r/>
            <w:r>
              <w:rPr>
                <w:rFonts w:ascii="Arial" w:hAnsi="Arial"/>
                <w:b/>
                <w:sz w:val="17"/>
              </w:rPr>
              <w:t>Source</w:t>
            </w:r>
          </w:p>
        </w:tc>
        <w:tc>
          <w:tcPr>
            <w:tcW w:type="dxa" w:w="3888"/>
            <w:vAlign w:val="center"/>
            <w:shd w:fill="D9EAF7"/>
          </w:tcPr>
          <w:p>
            <w:pPr>
              <w:jc w:val="left"/>
            </w:pPr>
            <w:r/>
            <w:r>
              <w:rPr>
                <w:rFonts w:ascii="Arial" w:hAnsi="Arial"/>
                <w:b/>
                <w:sz w:val="17"/>
              </w:rPr>
              <w:t>Relevance to this Plan</w:t>
            </w:r>
          </w:p>
        </w:tc>
        <w:tc>
          <w:tcPr>
            <w:tcW w:type="dxa" w:w="3600"/>
            <w:vAlign w:val="center"/>
            <w:shd w:fill="D9EAF7"/>
          </w:tcPr>
          <w:p>
            <w:pPr>
              <w:jc w:val="left"/>
            </w:pPr>
            <w:r/>
            <w:r>
              <w:rPr>
                <w:rFonts w:ascii="Arial" w:hAnsi="Arial"/>
                <w:b/>
                <w:sz w:val="17"/>
              </w:rPr>
              <w:t>How It Is Used</w:t>
            </w:r>
          </w:p>
        </w:tc>
      </w:tr>
      <w:tr>
        <w:tc>
          <w:tcPr>
            <w:tcW w:type="dxa" w:w="2448"/>
            <w:vAlign w:val="center"/>
          </w:tcPr>
          <w:p>
            <w:pPr>
              <w:jc w:val="left"/>
            </w:pPr>
            <w:r/>
            <w:r>
              <w:rPr>
                <w:rFonts w:ascii="Arial" w:hAnsi="Arial"/>
                <w:b w:val="0"/>
                <w:sz w:val="17"/>
              </w:rPr>
              <w:t>NIST SP 800-61 Rev. 3 (2025)</w:t>
            </w:r>
          </w:p>
        </w:tc>
        <w:tc>
          <w:tcPr>
            <w:tcW w:type="dxa" w:w="3888"/>
            <w:vAlign w:val="center"/>
          </w:tcPr>
          <w:p>
            <w:pPr>
              <w:jc w:val="left"/>
            </w:pPr>
            <w:r/>
            <w:r>
              <w:rPr>
                <w:rFonts w:ascii="Arial" w:hAnsi="Arial"/>
                <w:b w:val="0"/>
                <w:sz w:val="17"/>
              </w:rPr>
              <w:t>Current incident-response guidance integrated with CSF 2.0</w:t>
            </w:r>
          </w:p>
        </w:tc>
        <w:tc>
          <w:tcPr>
            <w:tcW w:type="dxa" w:w="3600"/>
            <w:vAlign w:val="center"/>
          </w:tcPr>
          <w:p>
            <w:pPr>
              <w:jc w:val="left"/>
            </w:pPr>
            <w:r/>
            <w:r>
              <w:rPr>
                <w:rFonts w:ascii="Arial" w:hAnsi="Arial"/>
                <w:b w:val="0"/>
                <w:sz w:val="17"/>
              </w:rPr>
              <w:t>Lifecycle, preparation, detection, response and recovery structure</w:t>
            </w:r>
          </w:p>
        </w:tc>
      </w:tr>
      <w:tr>
        <w:tc>
          <w:tcPr>
            <w:tcW w:type="dxa" w:w="2448"/>
            <w:vAlign w:val="center"/>
          </w:tcPr>
          <w:p>
            <w:pPr>
              <w:jc w:val="left"/>
            </w:pPr>
            <w:r/>
            <w:r>
              <w:rPr>
                <w:rFonts w:ascii="Arial" w:hAnsi="Arial"/>
                <w:b w:val="0"/>
                <w:sz w:val="17"/>
              </w:rPr>
              <w:t>NIST CSF 2.0</w:t>
            </w:r>
          </w:p>
        </w:tc>
        <w:tc>
          <w:tcPr>
            <w:tcW w:type="dxa" w:w="3888"/>
            <w:vAlign w:val="center"/>
          </w:tcPr>
          <w:p>
            <w:pPr>
              <w:jc w:val="left"/>
            </w:pPr>
            <w:r/>
            <w:r>
              <w:rPr>
                <w:rFonts w:ascii="Arial" w:hAnsi="Arial"/>
                <w:b w:val="0"/>
                <w:sz w:val="17"/>
              </w:rPr>
              <w:t>Risk-management context for cybersecurity activities</w:t>
            </w:r>
          </w:p>
        </w:tc>
        <w:tc>
          <w:tcPr>
            <w:tcW w:type="dxa" w:w="3600"/>
            <w:vAlign w:val="center"/>
          </w:tcPr>
          <w:p>
            <w:pPr>
              <w:jc w:val="left"/>
            </w:pPr>
            <w:r/>
            <w:r>
              <w:rPr>
                <w:rFonts w:ascii="Arial" w:hAnsi="Arial"/>
                <w:b w:val="0"/>
                <w:sz w:val="17"/>
              </w:rPr>
              <w:t>Connects incident response with broader organizational risk management</w:t>
            </w:r>
          </w:p>
        </w:tc>
      </w:tr>
      <w:tr>
        <w:tc>
          <w:tcPr>
            <w:tcW w:type="dxa" w:w="2448"/>
            <w:vAlign w:val="center"/>
          </w:tcPr>
          <w:p>
            <w:pPr>
              <w:jc w:val="left"/>
            </w:pPr>
            <w:r/>
            <w:r>
              <w:rPr>
                <w:rFonts w:ascii="Arial" w:hAnsi="Arial"/>
                <w:b w:val="0"/>
                <w:sz w:val="17"/>
              </w:rPr>
              <w:t>CISA Incident Response Playbook</w:t>
            </w:r>
          </w:p>
        </w:tc>
        <w:tc>
          <w:tcPr>
            <w:tcW w:type="dxa" w:w="3888"/>
            <w:vAlign w:val="center"/>
          </w:tcPr>
          <w:p>
            <w:pPr>
              <w:jc w:val="left"/>
            </w:pPr>
            <w:r/>
            <w:r>
              <w:rPr>
                <w:rFonts w:ascii="Arial" w:hAnsi="Arial"/>
                <w:b w:val="0"/>
                <w:sz w:val="17"/>
              </w:rPr>
              <w:t>Standardized incident-response process</w:t>
            </w:r>
          </w:p>
        </w:tc>
        <w:tc>
          <w:tcPr>
            <w:tcW w:type="dxa" w:w="3600"/>
            <w:vAlign w:val="center"/>
          </w:tcPr>
          <w:p>
            <w:pPr>
              <w:jc w:val="left"/>
            </w:pPr>
            <w:r/>
            <w:r>
              <w:rPr>
                <w:rFonts w:ascii="Arial" w:hAnsi="Arial"/>
                <w:b w:val="0"/>
                <w:sz w:val="17"/>
              </w:rPr>
              <w:t>Practical preparation, detection/analysis, containment, eradication/recovery and post-incident activities</w:t>
            </w:r>
          </w:p>
        </w:tc>
      </w:tr>
      <w:tr>
        <w:tc>
          <w:tcPr>
            <w:tcW w:type="dxa" w:w="2448"/>
            <w:vAlign w:val="center"/>
          </w:tcPr>
          <w:p>
            <w:pPr>
              <w:jc w:val="left"/>
            </w:pPr>
            <w:r/>
            <w:r>
              <w:rPr>
                <w:rFonts w:ascii="Arial" w:hAnsi="Arial"/>
                <w:b w:val="0"/>
                <w:sz w:val="17"/>
              </w:rPr>
              <w:t>CERT-In Directions under Section 70B</w:t>
            </w:r>
          </w:p>
        </w:tc>
        <w:tc>
          <w:tcPr>
            <w:tcW w:type="dxa" w:w="3888"/>
            <w:vAlign w:val="center"/>
          </w:tcPr>
          <w:p>
            <w:pPr>
              <w:jc w:val="left"/>
            </w:pPr>
            <w:r/>
            <w:r>
              <w:rPr>
                <w:rFonts w:ascii="Arial" w:hAnsi="Arial"/>
                <w:b w:val="0"/>
                <w:sz w:val="17"/>
              </w:rPr>
              <w:t>India-specific cyber incident practices and reporting context</w:t>
            </w:r>
          </w:p>
        </w:tc>
        <w:tc>
          <w:tcPr>
            <w:tcW w:type="dxa" w:w="3600"/>
            <w:vAlign w:val="center"/>
          </w:tcPr>
          <w:p>
            <w:pPr>
              <w:jc w:val="left"/>
            </w:pPr>
            <w:r/>
            <w:r>
              <w:rPr>
                <w:rFonts w:ascii="Arial" w:hAnsi="Arial"/>
                <w:b w:val="0"/>
                <w:sz w:val="17"/>
              </w:rPr>
              <w:t>Compliance awareness and escalation/reporting verification</w:t>
            </w:r>
          </w:p>
        </w:tc>
      </w:tr>
      <w:tr>
        <w:tc>
          <w:tcPr>
            <w:tcW w:type="dxa" w:w="2448"/>
            <w:vAlign w:val="center"/>
          </w:tcPr>
          <w:p>
            <w:pPr>
              <w:jc w:val="left"/>
            </w:pPr>
            <w:r/>
            <w:r>
              <w:rPr>
                <w:rFonts w:ascii="Arial" w:hAnsi="Arial"/>
                <w:b w:val="0"/>
                <w:sz w:val="17"/>
              </w:rPr>
              <w:t>NIST ransomware guidance (2026)</w:t>
            </w:r>
          </w:p>
        </w:tc>
        <w:tc>
          <w:tcPr>
            <w:tcW w:type="dxa" w:w="3888"/>
            <w:vAlign w:val="center"/>
          </w:tcPr>
          <w:p>
            <w:pPr>
              <w:jc w:val="left"/>
            </w:pPr>
            <w:r/>
            <w:r>
              <w:rPr>
                <w:rFonts w:ascii="Arial" w:hAnsi="Arial"/>
                <w:b w:val="0"/>
                <w:sz w:val="17"/>
              </w:rPr>
              <w:t>Current public guidance on ransomware risk management</w:t>
            </w:r>
          </w:p>
        </w:tc>
        <w:tc>
          <w:tcPr>
            <w:tcW w:type="dxa" w:w="3600"/>
            <w:vAlign w:val="center"/>
          </w:tcPr>
          <w:p>
            <w:pPr>
              <w:jc w:val="left"/>
            </w:pPr>
            <w:r/>
            <w:r>
              <w:rPr>
                <w:rFonts w:ascii="Arial" w:hAnsi="Arial"/>
                <w:b w:val="0"/>
                <w:sz w:val="17"/>
              </w:rPr>
              <w:t>Supports backup, recovery, data integrity and resilience considerations</w:t>
            </w:r>
          </w:p>
        </w:tc>
      </w:tr>
    </w:tbl>
    <w:p/>
    <w:p>
      <w:r>
        <w:t>NIST published SP 800-61 Rev. 3 in April 2025 and states that it supersedes Rev. 2. CISA's playbook describes standardized incident-response phases and CERT-In's official directions cover information-security practices, prevention, response and reporting. The exact applicability of any requirement should be checked against the organization, service and incident involved.</w:t>
      </w:r>
    </w:p>
    <w:p>
      <w:pPr>
        <w:pStyle w:val="Heading1"/>
      </w:pPr>
      <w:r>
        <w:t>5. Incident Response Lifecycle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vAlign w:val="center"/>
            <w:shd w:fill="D9EAF7"/>
          </w:tcPr>
          <w:p>
            <w:pPr>
              <w:jc w:val="left"/>
            </w:pPr>
            <w:r/>
            <w:r>
              <w:rPr>
                <w:rFonts w:ascii="Arial" w:hAnsi="Arial"/>
                <w:b/>
                <w:sz w:val="17"/>
              </w:rPr>
              <w:t>Phase</w:t>
            </w:r>
          </w:p>
        </w:tc>
        <w:tc>
          <w:tcPr>
            <w:tcW w:type="dxa" w:w="2160"/>
            <w:vAlign w:val="center"/>
            <w:shd w:fill="D9EAF7"/>
          </w:tcPr>
          <w:p>
            <w:pPr>
              <w:jc w:val="left"/>
            </w:pPr>
            <w:r/>
            <w:r>
              <w:rPr>
                <w:rFonts w:ascii="Arial" w:hAnsi="Arial"/>
                <w:b/>
                <w:sz w:val="17"/>
              </w:rPr>
              <w:t>Primary Purpose</w:t>
            </w:r>
          </w:p>
        </w:tc>
        <w:tc>
          <w:tcPr>
            <w:tcW w:type="dxa" w:w="4464"/>
            <w:vAlign w:val="center"/>
            <w:shd w:fill="D9EAF7"/>
          </w:tcPr>
          <w:p>
            <w:pPr>
              <w:jc w:val="left"/>
            </w:pPr>
            <w:r/>
            <w:r>
              <w:rPr>
                <w:rFonts w:ascii="Arial" w:hAnsi="Arial"/>
                <w:b/>
                <w:sz w:val="17"/>
              </w:rPr>
              <w:t>Key Activities</w:t>
            </w:r>
          </w:p>
        </w:tc>
        <w:tc>
          <w:tcPr>
            <w:tcW w:type="dxa" w:w="2160"/>
            <w:vAlign w:val="center"/>
            <w:shd w:fill="D9EAF7"/>
          </w:tcPr>
          <w:p>
            <w:pPr>
              <w:jc w:val="left"/>
            </w:pPr>
            <w:r/>
            <w:r>
              <w:rPr>
                <w:rFonts w:ascii="Arial" w:hAnsi="Arial"/>
                <w:b/>
                <w:sz w:val="17"/>
              </w:rPr>
              <w:t>Expected Output</w:t>
            </w:r>
          </w:p>
        </w:tc>
      </w:tr>
      <w:tr>
        <w:tc>
          <w:tcPr>
            <w:tcW w:type="dxa" w:w="1728"/>
            <w:vAlign w:val="center"/>
          </w:tcPr>
          <w:p>
            <w:pPr>
              <w:jc w:val="left"/>
            </w:pPr>
            <w:r/>
            <w:r>
              <w:rPr>
                <w:rFonts w:ascii="Arial" w:hAnsi="Arial"/>
                <w:b w:val="0"/>
                <w:sz w:val="17"/>
              </w:rPr>
              <w:t>Preparation</w:t>
            </w:r>
          </w:p>
        </w:tc>
        <w:tc>
          <w:tcPr>
            <w:tcW w:type="dxa" w:w="2160"/>
            <w:vAlign w:val="center"/>
          </w:tcPr>
          <w:p>
            <w:pPr>
              <w:jc w:val="left"/>
            </w:pPr>
            <w:r/>
            <w:r>
              <w:rPr>
                <w:rFonts w:ascii="Arial" w:hAnsi="Arial"/>
                <w:b w:val="0"/>
                <w:sz w:val="17"/>
              </w:rPr>
              <w:t>Build readiness before an incident</w:t>
            </w:r>
          </w:p>
        </w:tc>
        <w:tc>
          <w:tcPr>
            <w:tcW w:type="dxa" w:w="4464"/>
            <w:vAlign w:val="center"/>
          </w:tcPr>
          <w:p>
            <w:pPr>
              <w:jc w:val="left"/>
            </w:pPr>
            <w:r/>
            <w:r>
              <w:rPr>
                <w:rFonts w:ascii="Arial" w:hAnsi="Arial"/>
                <w:b w:val="0"/>
                <w:sz w:val="17"/>
              </w:rPr>
              <w:t>Asset inventory, contacts, logging, backups, playbooks, exercises, training</w:t>
            </w:r>
          </w:p>
        </w:tc>
        <w:tc>
          <w:tcPr>
            <w:tcW w:type="dxa" w:w="2160"/>
            <w:vAlign w:val="center"/>
          </w:tcPr>
          <w:p>
            <w:pPr>
              <w:jc w:val="left"/>
            </w:pPr>
            <w:r/>
            <w:r>
              <w:rPr>
                <w:rFonts w:ascii="Arial" w:hAnsi="Arial"/>
                <w:b w:val="0"/>
                <w:sz w:val="17"/>
              </w:rPr>
              <w:t>Prepared response capability</w:t>
            </w:r>
          </w:p>
        </w:tc>
      </w:tr>
      <w:tr>
        <w:tc>
          <w:tcPr>
            <w:tcW w:type="dxa" w:w="1728"/>
            <w:vAlign w:val="center"/>
          </w:tcPr>
          <w:p>
            <w:pPr>
              <w:jc w:val="left"/>
            </w:pPr>
            <w:r/>
            <w:r>
              <w:rPr>
                <w:rFonts w:ascii="Arial" w:hAnsi="Arial"/>
                <w:b w:val="0"/>
                <w:sz w:val="17"/>
              </w:rPr>
              <w:t>Detection &amp; Analysis</w:t>
            </w:r>
          </w:p>
        </w:tc>
        <w:tc>
          <w:tcPr>
            <w:tcW w:type="dxa" w:w="2160"/>
            <w:vAlign w:val="center"/>
          </w:tcPr>
          <w:p>
            <w:pPr>
              <w:jc w:val="left"/>
            </w:pPr>
            <w:r/>
            <w:r>
              <w:rPr>
                <w:rFonts w:ascii="Arial" w:hAnsi="Arial"/>
                <w:b w:val="0"/>
                <w:sz w:val="17"/>
              </w:rPr>
              <w:t>Identify and understand an event</w:t>
            </w:r>
          </w:p>
        </w:tc>
        <w:tc>
          <w:tcPr>
            <w:tcW w:type="dxa" w:w="4464"/>
            <w:vAlign w:val="center"/>
          </w:tcPr>
          <w:p>
            <w:pPr>
              <w:jc w:val="left"/>
            </w:pPr>
            <w:r/>
            <w:r>
              <w:rPr>
                <w:rFonts w:ascii="Arial" w:hAnsi="Arial"/>
                <w:b w:val="0"/>
                <w:sz w:val="17"/>
              </w:rPr>
              <w:t>Alert validation, telemetry review, scope analysis, severity, evidence preservation</w:t>
            </w:r>
          </w:p>
        </w:tc>
        <w:tc>
          <w:tcPr>
            <w:tcW w:type="dxa" w:w="2160"/>
            <w:vAlign w:val="center"/>
          </w:tcPr>
          <w:p>
            <w:pPr>
              <w:jc w:val="left"/>
            </w:pPr>
            <w:r/>
            <w:r>
              <w:rPr>
                <w:rFonts w:ascii="Arial" w:hAnsi="Arial"/>
                <w:b w:val="0"/>
                <w:sz w:val="17"/>
              </w:rPr>
              <w:t>Incident assessment</w:t>
            </w:r>
          </w:p>
        </w:tc>
      </w:tr>
      <w:tr>
        <w:tc>
          <w:tcPr>
            <w:tcW w:type="dxa" w:w="1728"/>
            <w:vAlign w:val="center"/>
          </w:tcPr>
          <w:p>
            <w:pPr>
              <w:jc w:val="left"/>
            </w:pPr>
            <w:r/>
            <w:r>
              <w:rPr>
                <w:rFonts w:ascii="Arial" w:hAnsi="Arial"/>
                <w:b w:val="0"/>
                <w:sz w:val="17"/>
              </w:rPr>
              <w:t>Containment</w:t>
            </w:r>
          </w:p>
        </w:tc>
        <w:tc>
          <w:tcPr>
            <w:tcW w:type="dxa" w:w="2160"/>
            <w:vAlign w:val="center"/>
          </w:tcPr>
          <w:p>
            <w:pPr>
              <w:jc w:val="left"/>
            </w:pPr>
            <w:r/>
            <w:r>
              <w:rPr>
                <w:rFonts w:ascii="Arial" w:hAnsi="Arial"/>
                <w:b w:val="0"/>
                <w:sz w:val="17"/>
              </w:rPr>
              <w:t>Limit damage and prevent spread</w:t>
            </w:r>
          </w:p>
        </w:tc>
        <w:tc>
          <w:tcPr>
            <w:tcW w:type="dxa" w:w="4464"/>
            <w:vAlign w:val="center"/>
          </w:tcPr>
          <w:p>
            <w:pPr>
              <w:jc w:val="left"/>
            </w:pPr>
            <w:r/>
            <w:r>
              <w:rPr>
                <w:rFonts w:ascii="Arial" w:hAnsi="Arial"/>
                <w:b w:val="0"/>
                <w:sz w:val="17"/>
              </w:rPr>
              <w:t>Isolate affected assets, restrict compromised access, block confirmed indicators</w:t>
            </w:r>
          </w:p>
        </w:tc>
        <w:tc>
          <w:tcPr>
            <w:tcW w:type="dxa" w:w="2160"/>
            <w:vAlign w:val="center"/>
          </w:tcPr>
          <w:p>
            <w:pPr>
              <w:jc w:val="left"/>
            </w:pPr>
            <w:r/>
            <w:r>
              <w:rPr>
                <w:rFonts w:ascii="Arial" w:hAnsi="Arial"/>
                <w:b w:val="0"/>
                <w:sz w:val="17"/>
              </w:rPr>
              <w:t>Controlled incident scope</w:t>
            </w:r>
          </w:p>
        </w:tc>
      </w:tr>
      <w:tr>
        <w:tc>
          <w:tcPr>
            <w:tcW w:type="dxa" w:w="1728"/>
            <w:vAlign w:val="center"/>
          </w:tcPr>
          <w:p>
            <w:pPr>
              <w:jc w:val="left"/>
            </w:pPr>
            <w:r/>
            <w:r>
              <w:rPr>
                <w:rFonts w:ascii="Arial" w:hAnsi="Arial"/>
                <w:b w:val="0"/>
                <w:sz w:val="17"/>
              </w:rPr>
              <w:t>Eradication</w:t>
            </w:r>
          </w:p>
        </w:tc>
        <w:tc>
          <w:tcPr>
            <w:tcW w:type="dxa" w:w="2160"/>
            <w:vAlign w:val="center"/>
          </w:tcPr>
          <w:p>
            <w:pPr>
              <w:jc w:val="left"/>
            </w:pPr>
            <w:r/>
            <w:r>
              <w:rPr>
                <w:rFonts w:ascii="Arial" w:hAnsi="Arial"/>
                <w:b w:val="0"/>
                <w:sz w:val="17"/>
              </w:rPr>
              <w:t>Remove cause and persistence</w:t>
            </w:r>
          </w:p>
        </w:tc>
        <w:tc>
          <w:tcPr>
            <w:tcW w:type="dxa" w:w="4464"/>
            <w:vAlign w:val="center"/>
          </w:tcPr>
          <w:p>
            <w:pPr>
              <w:jc w:val="left"/>
            </w:pPr>
            <w:r/>
            <w:r>
              <w:rPr>
                <w:rFonts w:ascii="Arial" w:hAnsi="Arial"/>
                <w:b w:val="0"/>
                <w:sz w:val="17"/>
              </w:rPr>
              <w:t>Patch exploited weakness, remove malicious artifacts, reset affected credentials, rebuild if required</w:t>
            </w:r>
          </w:p>
        </w:tc>
        <w:tc>
          <w:tcPr>
            <w:tcW w:type="dxa" w:w="2160"/>
            <w:vAlign w:val="center"/>
          </w:tcPr>
          <w:p>
            <w:pPr>
              <w:jc w:val="left"/>
            </w:pPr>
            <w:r/>
            <w:r>
              <w:rPr>
                <w:rFonts w:ascii="Arial" w:hAnsi="Arial"/>
                <w:b w:val="0"/>
                <w:sz w:val="17"/>
              </w:rPr>
              <w:t>Remediated environment</w:t>
            </w:r>
          </w:p>
        </w:tc>
      </w:tr>
      <w:tr>
        <w:tc>
          <w:tcPr>
            <w:tcW w:type="dxa" w:w="1728"/>
            <w:vAlign w:val="center"/>
          </w:tcPr>
          <w:p>
            <w:pPr>
              <w:jc w:val="left"/>
            </w:pPr>
            <w:r/>
            <w:r>
              <w:rPr>
                <w:rFonts w:ascii="Arial" w:hAnsi="Arial"/>
                <w:b w:val="0"/>
                <w:sz w:val="17"/>
              </w:rPr>
              <w:t>Recovery</w:t>
            </w:r>
          </w:p>
        </w:tc>
        <w:tc>
          <w:tcPr>
            <w:tcW w:type="dxa" w:w="2160"/>
            <w:vAlign w:val="center"/>
          </w:tcPr>
          <w:p>
            <w:pPr>
              <w:jc w:val="left"/>
            </w:pPr>
            <w:r/>
            <w:r>
              <w:rPr>
                <w:rFonts w:ascii="Arial" w:hAnsi="Arial"/>
                <w:b w:val="0"/>
                <w:sz w:val="17"/>
              </w:rPr>
              <w:t>Restore trusted services</w:t>
            </w:r>
          </w:p>
        </w:tc>
        <w:tc>
          <w:tcPr>
            <w:tcW w:type="dxa" w:w="4464"/>
            <w:vAlign w:val="center"/>
          </w:tcPr>
          <w:p>
            <w:pPr>
              <w:jc w:val="left"/>
            </w:pPr>
            <w:r/>
            <w:r>
              <w:rPr>
                <w:rFonts w:ascii="Arial" w:hAnsi="Arial"/>
                <w:b w:val="0"/>
                <w:sz w:val="17"/>
              </w:rPr>
              <w:t>Restore clean systems, validate controls, gradual service restoration, heightened monitoring</w:t>
            </w:r>
          </w:p>
        </w:tc>
        <w:tc>
          <w:tcPr>
            <w:tcW w:type="dxa" w:w="2160"/>
            <w:vAlign w:val="center"/>
          </w:tcPr>
          <w:p>
            <w:pPr>
              <w:jc w:val="left"/>
            </w:pPr>
            <w:r/>
            <w:r>
              <w:rPr>
                <w:rFonts w:ascii="Arial" w:hAnsi="Arial"/>
                <w:b w:val="0"/>
                <w:sz w:val="17"/>
              </w:rPr>
              <w:t>Trusted service restoration</w:t>
            </w:r>
          </w:p>
        </w:tc>
      </w:tr>
      <w:tr>
        <w:tc>
          <w:tcPr>
            <w:tcW w:type="dxa" w:w="1728"/>
            <w:vAlign w:val="center"/>
          </w:tcPr>
          <w:p>
            <w:pPr>
              <w:jc w:val="left"/>
            </w:pPr>
            <w:r/>
            <w:r>
              <w:rPr>
                <w:rFonts w:ascii="Arial" w:hAnsi="Arial"/>
                <w:b w:val="0"/>
                <w:sz w:val="17"/>
              </w:rPr>
              <w:t>Lessons Learned</w:t>
            </w:r>
          </w:p>
        </w:tc>
        <w:tc>
          <w:tcPr>
            <w:tcW w:type="dxa" w:w="2160"/>
            <w:vAlign w:val="center"/>
          </w:tcPr>
          <w:p>
            <w:pPr>
              <w:jc w:val="left"/>
            </w:pPr>
            <w:r/>
            <w:r>
              <w:rPr>
                <w:rFonts w:ascii="Arial" w:hAnsi="Arial"/>
                <w:b w:val="0"/>
                <w:sz w:val="17"/>
              </w:rPr>
              <w:t>Improve future resilience</w:t>
            </w:r>
          </w:p>
        </w:tc>
        <w:tc>
          <w:tcPr>
            <w:tcW w:type="dxa" w:w="4464"/>
            <w:vAlign w:val="center"/>
          </w:tcPr>
          <w:p>
            <w:pPr>
              <w:jc w:val="left"/>
            </w:pPr>
            <w:r/>
            <w:r>
              <w:rPr>
                <w:rFonts w:ascii="Arial" w:hAnsi="Arial"/>
                <w:b w:val="0"/>
                <w:sz w:val="17"/>
              </w:rPr>
              <w:t>Root cause, control gaps, corrective actions, playbook updates, exercises</w:t>
            </w:r>
          </w:p>
        </w:tc>
        <w:tc>
          <w:tcPr>
            <w:tcW w:type="dxa" w:w="2160"/>
            <w:vAlign w:val="center"/>
          </w:tcPr>
          <w:p>
            <w:pPr>
              <w:jc w:val="left"/>
            </w:pPr>
            <w:r/>
            <w:r>
              <w:rPr>
                <w:rFonts w:ascii="Arial" w:hAnsi="Arial"/>
                <w:b w:val="0"/>
                <w:sz w:val="17"/>
              </w:rPr>
              <w:t>Improvement plan</w:t>
            </w:r>
          </w:p>
        </w:tc>
      </w:tr>
    </w:tbl>
    <w:p/>
    <w:p>
      <w:pPr>
        <w:pStyle w:val="Heading1"/>
      </w:pPr>
      <w:r>
        <w:t>6. Pre-Incident Preparation</w:t>
      </w:r>
    </w:p>
    <w:p>
      <w:r>
        <w:t>Preparation determines how quickly an organization can make safe decisions during a high-pressure incident.</w:t>
      </w:r>
    </w:p>
    <w:p>
      <w:pPr>
        <w:pStyle w:val="ListNumber"/>
        <w:spacing w:after="40"/>
      </w:pPr>
      <w:r>
        <w:t>Maintain a current inventory of critical applications, APIs, databases, servers, cloud resources, identities, networks and third-party dependencies.</w:t>
      </w:r>
    </w:p>
    <w:p>
      <w:pPr>
        <w:pStyle w:val="ListNumber"/>
        <w:spacing w:after="40"/>
      </w:pPr>
      <w:r>
        <w:t>Assign business and technical owners to critical assets and record service dependencies.</w:t>
      </w:r>
    </w:p>
    <w:p>
      <w:pPr>
        <w:pStyle w:val="ListNumber"/>
        <w:spacing w:after="40"/>
      </w:pPr>
      <w:r>
        <w:t>Define incident severity levels using confidentiality, integrity, availability, citizen impact, service criticality and persistence.</w:t>
      </w:r>
    </w:p>
    <w:p>
      <w:pPr>
        <w:pStyle w:val="ListNumber"/>
        <w:spacing w:after="40"/>
      </w:pPr>
      <w:r>
        <w:t>Maintain an up-to-date incident contact list including incident leadership, security operations, system owners, management, legal/compliance, communications and vendors.</w:t>
      </w:r>
    </w:p>
    <w:p>
      <w:pPr>
        <w:pStyle w:val="ListNumber"/>
        <w:spacing w:after="40"/>
      </w:pPr>
      <w:r>
        <w:t>Centralize relevant security logs where feasible and protect logs from unauthorized modification.</w:t>
      </w:r>
    </w:p>
    <w:p>
      <w:pPr>
        <w:pStyle w:val="ListNumber"/>
        <w:spacing w:after="40"/>
      </w:pPr>
      <w:r>
        <w:t>Maintain tested backups and document restoration priorities for critical services.</w:t>
      </w:r>
    </w:p>
    <w:p>
      <w:pPr>
        <w:pStyle w:val="ListNumber"/>
        <w:spacing w:after="40"/>
      </w:pPr>
      <w:r>
        <w:t>Prepare response playbooks for account compromise, malware/ransomware, web/API exploitation, denial-of-service, data exposure and third-party compromise.</w:t>
      </w:r>
    </w:p>
    <w:p>
      <w:pPr>
        <w:pStyle w:val="ListNumber"/>
        <w:spacing w:after="40"/>
      </w:pPr>
      <w:r>
        <w:t>Conduct tabletop exercises and recovery tests; record findings and assign corrective actions.</w:t>
      </w:r>
    </w:p>
    <w:p>
      <w:pPr>
        <w:pStyle w:val="ListNumber"/>
        <w:spacing w:after="40"/>
      </w:pPr>
      <w:r>
        <w:t>Connect vulnerability management with incident response so high-risk exposed weaknesses can trigger accelerated review.</w:t>
      </w:r>
    </w:p>
    <w:p>
      <w:pPr>
        <w:pStyle w:val="Heading2"/>
      </w:pPr>
      <w:r>
        <w:t>6.1 Minimum Preparedness Checklist</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D9EAF7"/>
          </w:tcPr>
          <w:p>
            <w:pPr>
              <w:jc w:val="left"/>
            </w:pPr>
            <w:r/>
            <w:r>
              <w:rPr>
                <w:rFonts w:ascii="Arial" w:hAnsi="Arial"/>
                <w:b/>
                <w:sz w:val="17"/>
              </w:rPr>
              <w:t>Control Area</w:t>
            </w:r>
          </w:p>
        </w:tc>
        <w:tc>
          <w:tcPr>
            <w:tcW w:type="dxa" w:w="4464"/>
            <w:vAlign w:val="center"/>
            <w:shd w:fill="D9EAF7"/>
          </w:tcPr>
          <w:p>
            <w:pPr>
              <w:jc w:val="left"/>
            </w:pPr>
            <w:r/>
            <w:r>
              <w:rPr>
                <w:rFonts w:ascii="Arial" w:hAnsi="Arial"/>
                <w:b/>
                <w:sz w:val="17"/>
              </w:rPr>
              <w:t>Minimum Evidence</w:t>
            </w:r>
          </w:p>
        </w:tc>
        <w:tc>
          <w:tcPr>
            <w:tcW w:type="dxa" w:w="3168"/>
            <w:vAlign w:val="center"/>
            <w:shd w:fill="D9EAF7"/>
          </w:tcPr>
          <w:p>
            <w:pPr>
              <w:jc w:val="left"/>
            </w:pPr>
            <w:r/>
            <w:r>
              <w:rPr>
                <w:rFonts w:ascii="Arial" w:hAnsi="Arial"/>
                <w:b/>
                <w:sz w:val="17"/>
              </w:rPr>
              <w:t>Owner Example</w:t>
            </w:r>
          </w:p>
        </w:tc>
      </w:tr>
      <w:tr>
        <w:tc>
          <w:tcPr>
            <w:tcW w:type="dxa" w:w="2304"/>
            <w:vAlign w:val="center"/>
          </w:tcPr>
          <w:p>
            <w:pPr>
              <w:jc w:val="left"/>
            </w:pPr>
            <w:r/>
            <w:r>
              <w:rPr>
                <w:rFonts w:ascii="Arial" w:hAnsi="Arial"/>
                <w:b w:val="0"/>
                <w:sz w:val="17"/>
              </w:rPr>
              <w:t>Asset inventory</w:t>
            </w:r>
          </w:p>
        </w:tc>
        <w:tc>
          <w:tcPr>
            <w:tcW w:type="dxa" w:w="4464"/>
            <w:vAlign w:val="center"/>
          </w:tcPr>
          <w:p>
            <w:pPr>
              <w:jc w:val="left"/>
            </w:pPr>
            <w:r/>
            <w:r>
              <w:rPr>
                <w:rFonts w:ascii="Arial" w:hAnsi="Arial"/>
                <w:b w:val="0"/>
                <w:sz w:val="17"/>
              </w:rPr>
              <w:t>Current asset list + criticality</w:t>
            </w:r>
          </w:p>
        </w:tc>
        <w:tc>
          <w:tcPr>
            <w:tcW w:type="dxa" w:w="3168"/>
            <w:vAlign w:val="center"/>
          </w:tcPr>
          <w:p>
            <w:pPr>
              <w:jc w:val="left"/>
            </w:pPr>
            <w:r/>
            <w:r>
              <w:rPr>
                <w:rFonts w:ascii="Arial" w:hAnsi="Arial"/>
                <w:b w:val="0"/>
                <w:sz w:val="17"/>
              </w:rPr>
              <w:t>IT / Asset Management</w:t>
            </w:r>
          </w:p>
        </w:tc>
      </w:tr>
      <w:tr>
        <w:tc>
          <w:tcPr>
            <w:tcW w:type="dxa" w:w="2304"/>
            <w:vAlign w:val="center"/>
          </w:tcPr>
          <w:p>
            <w:pPr>
              <w:jc w:val="left"/>
            </w:pPr>
            <w:r/>
            <w:r>
              <w:rPr>
                <w:rFonts w:ascii="Arial" w:hAnsi="Arial"/>
                <w:b w:val="0"/>
                <w:sz w:val="17"/>
              </w:rPr>
              <w:t>Logging</w:t>
            </w:r>
          </w:p>
        </w:tc>
        <w:tc>
          <w:tcPr>
            <w:tcW w:type="dxa" w:w="4464"/>
            <w:vAlign w:val="center"/>
          </w:tcPr>
          <w:p>
            <w:pPr>
              <w:jc w:val="left"/>
            </w:pPr>
            <w:r/>
            <w:r>
              <w:rPr>
                <w:rFonts w:ascii="Arial" w:hAnsi="Arial"/>
                <w:b w:val="0"/>
                <w:sz w:val="17"/>
              </w:rPr>
              <w:t>Required log sources enabled and retained</w:t>
            </w:r>
          </w:p>
        </w:tc>
        <w:tc>
          <w:tcPr>
            <w:tcW w:type="dxa" w:w="3168"/>
            <w:vAlign w:val="center"/>
          </w:tcPr>
          <w:p>
            <w:pPr>
              <w:jc w:val="left"/>
            </w:pPr>
            <w:r/>
            <w:r>
              <w:rPr>
                <w:rFonts w:ascii="Arial" w:hAnsi="Arial"/>
                <w:b w:val="0"/>
                <w:sz w:val="17"/>
              </w:rPr>
              <w:t>SOC / IT</w:t>
            </w:r>
          </w:p>
        </w:tc>
      </w:tr>
      <w:tr>
        <w:tc>
          <w:tcPr>
            <w:tcW w:type="dxa" w:w="2304"/>
            <w:vAlign w:val="center"/>
          </w:tcPr>
          <w:p>
            <w:pPr>
              <w:jc w:val="left"/>
            </w:pPr>
            <w:r/>
            <w:r>
              <w:rPr>
                <w:rFonts w:ascii="Arial" w:hAnsi="Arial"/>
                <w:b w:val="0"/>
                <w:sz w:val="17"/>
              </w:rPr>
              <w:t>Backups</w:t>
            </w:r>
          </w:p>
        </w:tc>
        <w:tc>
          <w:tcPr>
            <w:tcW w:type="dxa" w:w="4464"/>
            <w:vAlign w:val="center"/>
          </w:tcPr>
          <w:p>
            <w:pPr>
              <w:jc w:val="left"/>
            </w:pPr>
            <w:r/>
            <w:r>
              <w:rPr>
                <w:rFonts w:ascii="Arial" w:hAnsi="Arial"/>
                <w:b w:val="0"/>
                <w:sz w:val="17"/>
              </w:rPr>
              <w:t>Successful restore test record</w:t>
            </w:r>
          </w:p>
        </w:tc>
        <w:tc>
          <w:tcPr>
            <w:tcW w:type="dxa" w:w="3168"/>
            <w:vAlign w:val="center"/>
          </w:tcPr>
          <w:p>
            <w:pPr>
              <w:jc w:val="left"/>
            </w:pPr>
            <w:r/>
            <w:r>
              <w:rPr>
                <w:rFonts w:ascii="Arial" w:hAnsi="Arial"/>
                <w:b w:val="0"/>
                <w:sz w:val="17"/>
              </w:rPr>
              <w:t>IT / DR Team</w:t>
            </w:r>
          </w:p>
        </w:tc>
      </w:tr>
      <w:tr>
        <w:tc>
          <w:tcPr>
            <w:tcW w:type="dxa" w:w="2304"/>
            <w:vAlign w:val="center"/>
          </w:tcPr>
          <w:p>
            <w:pPr>
              <w:jc w:val="left"/>
            </w:pPr>
            <w:r/>
            <w:r>
              <w:rPr>
                <w:rFonts w:ascii="Arial" w:hAnsi="Arial"/>
                <w:b w:val="0"/>
                <w:sz w:val="17"/>
              </w:rPr>
              <w:t>Contacts</w:t>
            </w:r>
          </w:p>
        </w:tc>
        <w:tc>
          <w:tcPr>
            <w:tcW w:type="dxa" w:w="4464"/>
            <w:vAlign w:val="center"/>
          </w:tcPr>
          <w:p>
            <w:pPr>
              <w:jc w:val="left"/>
            </w:pPr>
            <w:r/>
            <w:r>
              <w:rPr>
                <w:rFonts w:ascii="Arial" w:hAnsi="Arial"/>
                <w:b w:val="0"/>
                <w:sz w:val="17"/>
              </w:rPr>
              <w:t>Current escalation list</w:t>
            </w:r>
          </w:p>
        </w:tc>
        <w:tc>
          <w:tcPr>
            <w:tcW w:type="dxa" w:w="3168"/>
            <w:vAlign w:val="center"/>
          </w:tcPr>
          <w:p>
            <w:pPr>
              <w:jc w:val="left"/>
            </w:pPr>
            <w:r/>
            <w:r>
              <w:rPr>
                <w:rFonts w:ascii="Arial" w:hAnsi="Arial"/>
                <w:b w:val="0"/>
                <w:sz w:val="17"/>
              </w:rPr>
              <w:t>IR Lead</w:t>
            </w:r>
          </w:p>
        </w:tc>
      </w:tr>
      <w:tr>
        <w:tc>
          <w:tcPr>
            <w:tcW w:type="dxa" w:w="2304"/>
            <w:vAlign w:val="center"/>
          </w:tcPr>
          <w:p>
            <w:pPr>
              <w:jc w:val="left"/>
            </w:pPr>
            <w:r/>
            <w:r>
              <w:rPr>
                <w:rFonts w:ascii="Arial" w:hAnsi="Arial"/>
                <w:b w:val="0"/>
                <w:sz w:val="17"/>
              </w:rPr>
              <w:t>Playbooks</w:t>
            </w:r>
          </w:p>
        </w:tc>
        <w:tc>
          <w:tcPr>
            <w:tcW w:type="dxa" w:w="4464"/>
            <w:vAlign w:val="center"/>
          </w:tcPr>
          <w:p>
            <w:pPr>
              <w:jc w:val="left"/>
            </w:pPr>
            <w:r/>
            <w:r>
              <w:rPr>
                <w:rFonts w:ascii="Arial" w:hAnsi="Arial"/>
                <w:b w:val="0"/>
                <w:sz w:val="17"/>
              </w:rPr>
              <w:t>Approved response procedures</w:t>
            </w:r>
          </w:p>
        </w:tc>
        <w:tc>
          <w:tcPr>
            <w:tcW w:type="dxa" w:w="3168"/>
            <w:vAlign w:val="center"/>
          </w:tcPr>
          <w:p>
            <w:pPr>
              <w:jc w:val="left"/>
            </w:pPr>
            <w:r/>
            <w:r>
              <w:rPr>
                <w:rFonts w:ascii="Arial" w:hAnsi="Arial"/>
                <w:b w:val="0"/>
                <w:sz w:val="17"/>
              </w:rPr>
              <w:t>Security Team</w:t>
            </w:r>
          </w:p>
        </w:tc>
      </w:tr>
      <w:tr>
        <w:tc>
          <w:tcPr>
            <w:tcW w:type="dxa" w:w="2304"/>
            <w:vAlign w:val="center"/>
          </w:tcPr>
          <w:p>
            <w:pPr>
              <w:jc w:val="left"/>
            </w:pPr>
            <w:r/>
            <w:r>
              <w:rPr>
                <w:rFonts w:ascii="Arial" w:hAnsi="Arial"/>
                <w:b w:val="0"/>
                <w:sz w:val="17"/>
              </w:rPr>
              <w:t>Exercises</w:t>
            </w:r>
          </w:p>
        </w:tc>
        <w:tc>
          <w:tcPr>
            <w:tcW w:type="dxa" w:w="4464"/>
            <w:vAlign w:val="center"/>
          </w:tcPr>
          <w:p>
            <w:pPr>
              <w:jc w:val="left"/>
            </w:pPr>
            <w:r/>
            <w:r>
              <w:rPr>
                <w:rFonts w:ascii="Arial" w:hAnsi="Arial"/>
                <w:b w:val="0"/>
                <w:sz w:val="17"/>
              </w:rPr>
              <w:t>Exercise report + corrective actions</w:t>
            </w:r>
          </w:p>
        </w:tc>
        <w:tc>
          <w:tcPr>
            <w:tcW w:type="dxa" w:w="3168"/>
            <w:vAlign w:val="center"/>
          </w:tcPr>
          <w:p>
            <w:pPr>
              <w:jc w:val="left"/>
            </w:pPr>
            <w:r/>
            <w:r>
              <w:rPr>
                <w:rFonts w:ascii="Arial" w:hAnsi="Arial"/>
                <w:b w:val="0"/>
                <w:sz w:val="17"/>
              </w:rPr>
              <w:t>Security / Management</w:t>
            </w:r>
          </w:p>
        </w:tc>
      </w:tr>
      <w:tr>
        <w:tc>
          <w:tcPr>
            <w:tcW w:type="dxa" w:w="2304"/>
            <w:vAlign w:val="center"/>
          </w:tcPr>
          <w:p>
            <w:pPr>
              <w:jc w:val="left"/>
            </w:pPr>
            <w:r/>
            <w:r>
              <w:rPr>
                <w:rFonts w:ascii="Arial" w:hAnsi="Arial"/>
                <w:b w:val="0"/>
                <w:sz w:val="17"/>
              </w:rPr>
              <w:t>Vulnerability management</w:t>
            </w:r>
          </w:p>
        </w:tc>
        <w:tc>
          <w:tcPr>
            <w:tcW w:type="dxa" w:w="4464"/>
            <w:vAlign w:val="center"/>
          </w:tcPr>
          <w:p>
            <w:pPr>
              <w:jc w:val="left"/>
            </w:pPr>
            <w:r/>
            <w:r>
              <w:rPr>
                <w:rFonts w:ascii="Arial" w:hAnsi="Arial"/>
                <w:b w:val="0"/>
                <w:sz w:val="17"/>
              </w:rPr>
              <w:t>Risk-based remediation tracker</w:t>
            </w:r>
          </w:p>
        </w:tc>
        <w:tc>
          <w:tcPr>
            <w:tcW w:type="dxa" w:w="3168"/>
            <w:vAlign w:val="center"/>
          </w:tcPr>
          <w:p>
            <w:pPr>
              <w:jc w:val="left"/>
            </w:pPr>
            <w:r/>
            <w:r>
              <w:rPr>
                <w:rFonts w:ascii="Arial" w:hAnsi="Arial"/>
                <w:b w:val="0"/>
                <w:sz w:val="17"/>
              </w:rPr>
              <w:t>Vulnerability Team</w:t>
            </w:r>
          </w:p>
        </w:tc>
      </w:tr>
    </w:tbl>
    <w:p/>
    <w:p>
      <w:pPr>
        <w:pStyle w:val="Heading1"/>
      </w:pPr>
      <w:r>
        <w:t>7. Detection and Analysis Procedures</w:t>
      </w:r>
    </w:p>
    <w:p>
      <w:r>
        <w:t>Detection should combine automated security telemetry with analyst review and user or service-owner reports. The goal is to establish what happened, which assets are affected, how serious the event is, and whether the activity is continuing.</w:t>
      </w:r>
    </w:p>
    <w:tbl>
      <w:tblPr>
        <w:tblStyle w:val="TableGrid"/>
        <w:tblW w:type="auto" w:w="0"/>
        <w:jc w:val="center"/>
        <w:tblLook w:firstColumn="1" w:firstRow="1" w:lastColumn="0" w:lastRow="0" w:noHBand="0" w:noVBand="1" w:val="04A0"/>
      </w:tblPr>
      <w:tblGrid>
        <w:gridCol w:w="3312"/>
        <w:gridCol w:w="3312"/>
        <w:gridCol w:w="3312"/>
      </w:tblGrid>
      <w:tr>
        <w:tc>
          <w:tcPr>
            <w:tcW w:type="dxa" w:w="864"/>
            <w:vAlign w:val="center"/>
            <w:shd w:fill="D9EAF7"/>
          </w:tcPr>
          <w:p>
            <w:pPr>
              <w:jc w:val="left"/>
            </w:pPr>
            <w:r/>
            <w:r>
              <w:rPr>
                <w:rFonts w:ascii="Arial" w:hAnsi="Arial"/>
                <w:b/>
                <w:sz w:val="17"/>
              </w:rPr>
              <w:t>Step</w:t>
            </w:r>
          </w:p>
        </w:tc>
        <w:tc>
          <w:tcPr>
            <w:tcW w:type="dxa" w:w="6912"/>
            <w:vAlign w:val="center"/>
            <w:shd w:fill="D9EAF7"/>
          </w:tcPr>
          <w:p>
            <w:pPr>
              <w:jc w:val="left"/>
            </w:pPr>
            <w:r/>
            <w:r>
              <w:rPr>
                <w:rFonts w:ascii="Arial" w:hAnsi="Arial"/>
                <w:b/>
                <w:sz w:val="17"/>
              </w:rPr>
              <w:t>Procedure</w:t>
            </w:r>
          </w:p>
        </w:tc>
        <w:tc>
          <w:tcPr>
            <w:tcW w:type="dxa" w:w="2160"/>
            <w:vAlign w:val="center"/>
            <w:shd w:fill="D9EAF7"/>
          </w:tcPr>
          <w:p>
            <w:pPr>
              <w:jc w:val="left"/>
            </w:pPr>
            <w:r/>
            <w:r>
              <w:rPr>
                <w:rFonts w:ascii="Arial" w:hAnsi="Arial"/>
                <w:b/>
                <w:sz w:val="17"/>
              </w:rPr>
              <w:t>Decision / Output</w:t>
            </w:r>
          </w:p>
        </w:tc>
      </w:tr>
      <w:tr>
        <w:tc>
          <w:tcPr>
            <w:tcW w:type="dxa" w:w="864"/>
            <w:vAlign w:val="center"/>
          </w:tcPr>
          <w:p>
            <w:pPr>
              <w:jc w:val="left"/>
            </w:pPr>
            <w:r/>
            <w:r>
              <w:rPr>
                <w:rFonts w:ascii="Arial" w:hAnsi="Arial"/>
                <w:b w:val="0"/>
                <w:sz w:val="17"/>
              </w:rPr>
              <w:t>1</w:t>
            </w:r>
          </w:p>
        </w:tc>
        <w:tc>
          <w:tcPr>
            <w:tcW w:type="dxa" w:w="6912"/>
            <w:vAlign w:val="center"/>
          </w:tcPr>
          <w:p>
            <w:pPr>
              <w:jc w:val="left"/>
            </w:pPr>
            <w:r/>
            <w:r>
              <w:rPr>
                <w:rFonts w:ascii="Arial" w:hAnsi="Arial"/>
                <w:b w:val="0"/>
                <w:sz w:val="17"/>
              </w:rPr>
              <w:t>Create an incident record and assign a unique incident ID.</w:t>
            </w:r>
          </w:p>
        </w:tc>
        <w:tc>
          <w:tcPr>
            <w:tcW w:type="dxa" w:w="2160"/>
            <w:vAlign w:val="center"/>
          </w:tcPr>
          <w:p>
            <w:pPr>
              <w:jc w:val="left"/>
            </w:pPr>
            <w:r/>
            <w:r>
              <w:rPr>
                <w:rFonts w:ascii="Arial" w:hAnsi="Arial"/>
                <w:b w:val="0"/>
                <w:sz w:val="17"/>
              </w:rPr>
              <w:t>Traceable case and timeline</w:t>
            </w:r>
          </w:p>
        </w:tc>
      </w:tr>
      <w:tr>
        <w:tc>
          <w:tcPr>
            <w:tcW w:type="dxa" w:w="864"/>
            <w:vAlign w:val="center"/>
          </w:tcPr>
          <w:p>
            <w:pPr>
              <w:jc w:val="left"/>
            </w:pPr>
            <w:r/>
            <w:r>
              <w:rPr>
                <w:rFonts w:ascii="Arial" w:hAnsi="Arial"/>
                <w:b w:val="0"/>
                <w:sz w:val="17"/>
              </w:rPr>
              <w:t>2</w:t>
            </w:r>
          </w:p>
        </w:tc>
        <w:tc>
          <w:tcPr>
            <w:tcW w:type="dxa" w:w="6912"/>
            <w:vAlign w:val="center"/>
          </w:tcPr>
          <w:p>
            <w:pPr>
              <w:jc w:val="left"/>
            </w:pPr>
            <w:r/>
            <w:r>
              <w:rPr>
                <w:rFonts w:ascii="Arial" w:hAnsi="Arial"/>
                <w:b w:val="0"/>
                <w:sz w:val="17"/>
              </w:rPr>
              <w:t>Validate the alert using available logs and telemetry.</w:t>
            </w:r>
          </w:p>
        </w:tc>
        <w:tc>
          <w:tcPr>
            <w:tcW w:type="dxa" w:w="2160"/>
            <w:vAlign w:val="center"/>
          </w:tcPr>
          <w:p>
            <w:pPr>
              <w:jc w:val="left"/>
            </w:pPr>
            <w:r/>
            <w:r>
              <w:rPr>
                <w:rFonts w:ascii="Arial" w:hAnsi="Arial"/>
                <w:b w:val="0"/>
                <w:sz w:val="17"/>
              </w:rPr>
              <w:t>True positive, false positive or needs more analysis</w:t>
            </w:r>
          </w:p>
        </w:tc>
      </w:tr>
      <w:tr>
        <w:tc>
          <w:tcPr>
            <w:tcW w:type="dxa" w:w="864"/>
            <w:vAlign w:val="center"/>
          </w:tcPr>
          <w:p>
            <w:pPr>
              <w:jc w:val="left"/>
            </w:pPr>
            <w:r/>
            <w:r>
              <w:rPr>
                <w:rFonts w:ascii="Arial" w:hAnsi="Arial"/>
                <w:b w:val="0"/>
                <w:sz w:val="17"/>
              </w:rPr>
              <w:t>3</w:t>
            </w:r>
          </w:p>
        </w:tc>
        <w:tc>
          <w:tcPr>
            <w:tcW w:type="dxa" w:w="6912"/>
            <w:vAlign w:val="center"/>
          </w:tcPr>
          <w:p>
            <w:pPr>
              <w:jc w:val="left"/>
            </w:pPr>
            <w:r/>
            <w:r>
              <w:rPr>
                <w:rFonts w:ascii="Arial" w:hAnsi="Arial"/>
                <w:b w:val="0"/>
                <w:sz w:val="17"/>
              </w:rPr>
              <w:t>Identify affected assets, accounts, services and time window.</w:t>
            </w:r>
          </w:p>
        </w:tc>
        <w:tc>
          <w:tcPr>
            <w:tcW w:type="dxa" w:w="2160"/>
            <w:vAlign w:val="center"/>
          </w:tcPr>
          <w:p>
            <w:pPr>
              <w:jc w:val="left"/>
            </w:pPr>
            <w:r/>
            <w:r>
              <w:rPr>
                <w:rFonts w:ascii="Arial" w:hAnsi="Arial"/>
                <w:b w:val="0"/>
                <w:sz w:val="17"/>
              </w:rPr>
              <w:t>Initial scope</w:t>
            </w:r>
          </w:p>
        </w:tc>
      </w:tr>
      <w:tr>
        <w:tc>
          <w:tcPr>
            <w:tcW w:type="dxa" w:w="864"/>
            <w:vAlign w:val="center"/>
          </w:tcPr>
          <w:p>
            <w:pPr>
              <w:jc w:val="left"/>
            </w:pPr>
            <w:r/>
            <w:r>
              <w:rPr>
                <w:rFonts w:ascii="Arial" w:hAnsi="Arial"/>
                <w:b w:val="0"/>
                <w:sz w:val="17"/>
              </w:rPr>
              <w:t>4</w:t>
            </w:r>
          </w:p>
        </w:tc>
        <w:tc>
          <w:tcPr>
            <w:tcW w:type="dxa" w:w="6912"/>
            <w:vAlign w:val="center"/>
          </w:tcPr>
          <w:p>
            <w:pPr>
              <w:jc w:val="left"/>
            </w:pPr>
            <w:r/>
            <w:r>
              <w:rPr>
                <w:rFonts w:ascii="Arial" w:hAnsi="Arial"/>
                <w:b w:val="0"/>
                <w:sz w:val="17"/>
              </w:rPr>
              <w:t>Identify suspected attack vector and relevant CTI.</w:t>
            </w:r>
          </w:p>
        </w:tc>
        <w:tc>
          <w:tcPr>
            <w:tcW w:type="dxa" w:w="2160"/>
            <w:vAlign w:val="center"/>
          </w:tcPr>
          <w:p>
            <w:pPr>
              <w:jc w:val="left"/>
            </w:pPr>
            <w:r/>
            <w:r>
              <w:rPr>
                <w:rFonts w:ascii="Arial" w:hAnsi="Arial"/>
                <w:b w:val="0"/>
                <w:sz w:val="17"/>
              </w:rPr>
              <w:t>Working hypothesis</w:t>
            </w:r>
          </w:p>
        </w:tc>
      </w:tr>
      <w:tr>
        <w:tc>
          <w:tcPr>
            <w:tcW w:type="dxa" w:w="864"/>
            <w:vAlign w:val="center"/>
          </w:tcPr>
          <w:p>
            <w:pPr>
              <w:jc w:val="left"/>
            </w:pPr>
            <w:r/>
            <w:r>
              <w:rPr>
                <w:rFonts w:ascii="Arial" w:hAnsi="Arial"/>
                <w:b w:val="0"/>
                <w:sz w:val="17"/>
              </w:rPr>
              <w:t>5</w:t>
            </w:r>
          </w:p>
        </w:tc>
        <w:tc>
          <w:tcPr>
            <w:tcW w:type="dxa" w:w="6912"/>
            <w:vAlign w:val="center"/>
          </w:tcPr>
          <w:p>
            <w:pPr>
              <w:jc w:val="left"/>
            </w:pPr>
            <w:r/>
            <w:r>
              <w:rPr>
                <w:rFonts w:ascii="Arial" w:hAnsi="Arial"/>
                <w:b w:val="0"/>
                <w:sz w:val="17"/>
              </w:rPr>
              <w:t>Classify severity using impact and persistence criteria.</w:t>
            </w:r>
          </w:p>
        </w:tc>
        <w:tc>
          <w:tcPr>
            <w:tcW w:type="dxa" w:w="2160"/>
            <w:vAlign w:val="center"/>
          </w:tcPr>
          <w:p>
            <w:pPr>
              <w:jc w:val="left"/>
            </w:pPr>
            <w:r/>
            <w:r>
              <w:rPr>
                <w:rFonts w:ascii="Arial" w:hAnsi="Arial"/>
                <w:b w:val="0"/>
                <w:sz w:val="17"/>
              </w:rPr>
              <w:t>Severity level</w:t>
            </w:r>
          </w:p>
        </w:tc>
      </w:tr>
      <w:tr>
        <w:tc>
          <w:tcPr>
            <w:tcW w:type="dxa" w:w="864"/>
            <w:vAlign w:val="center"/>
          </w:tcPr>
          <w:p>
            <w:pPr>
              <w:jc w:val="left"/>
            </w:pPr>
            <w:r/>
            <w:r>
              <w:rPr>
                <w:rFonts w:ascii="Arial" w:hAnsi="Arial"/>
                <w:b w:val="0"/>
                <w:sz w:val="17"/>
              </w:rPr>
              <w:t>6</w:t>
            </w:r>
          </w:p>
        </w:tc>
        <w:tc>
          <w:tcPr>
            <w:tcW w:type="dxa" w:w="6912"/>
            <w:vAlign w:val="center"/>
          </w:tcPr>
          <w:p>
            <w:pPr>
              <w:jc w:val="left"/>
            </w:pPr>
            <w:r/>
            <w:r>
              <w:rPr>
                <w:rFonts w:ascii="Arial" w:hAnsi="Arial"/>
                <w:b w:val="0"/>
                <w:sz w:val="17"/>
              </w:rPr>
              <w:t>Preserve relevant evidence and record actions taken.</w:t>
            </w:r>
          </w:p>
        </w:tc>
        <w:tc>
          <w:tcPr>
            <w:tcW w:type="dxa" w:w="2160"/>
            <w:vAlign w:val="center"/>
          </w:tcPr>
          <w:p>
            <w:pPr>
              <w:jc w:val="left"/>
            </w:pPr>
            <w:r/>
            <w:r>
              <w:rPr>
                <w:rFonts w:ascii="Arial" w:hAnsi="Arial"/>
                <w:b w:val="0"/>
                <w:sz w:val="17"/>
              </w:rPr>
              <w:t>Evidence trail</w:t>
            </w:r>
          </w:p>
        </w:tc>
      </w:tr>
      <w:tr>
        <w:tc>
          <w:tcPr>
            <w:tcW w:type="dxa" w:w="864"/>
            <w:vAlign w:val="center"/>
          </w:tcPr>
          <w:p>
            <w:pPr>
              <w:jc w:val="left"/>
            </w:pPr>
            <w:r/>
            <w:r>
              <w:rPr>
                <w:rFonts w:ascii="Arial" w:hAnsi="Arial"/>
                <w:b w:val="0"/>
                <w:sz w:val="17"/>
              </w:rPr>
              <w:t>7</w:t>
            </w:r>
          </w:p>
        </w:tc>
        <w:tc>
          <w:tcPr>
            <w:tcW w:type="dxa" w:w="6912"/>
            <w:vAlign w:val="center"/>
          </w:tcPr>
          <w:p>
            <w:pPr>
              <w:jc w:val="left"/>
            </w:pPr>
            <w:r/>
            <w:r>
              <w:rPr>
                <w:rFonts w:ascii="Arial" w:hAnsi="Arial"/>
                <w:b w:val="0"/>
                <w:sz w:val="17"/>
              </w:rPr>
              <w:t>Escalate to the correct response lead and stakeholders.</w:t>
            </w:r>
          </w:p>
        </w:tc>
        <w:tc>
          <w:tcPr>
            <w:tcW w:type="dxa" w:w="2160"/>
            <w:vAlign w:val="center"/>
          </w:tcPr>
          <w:p>
            <w:pPr>
              <w:jc w:val="left"/>
            </w:pPr>
            <w:r/>
            <w:r>
              <w:rPr>
                <w:rFonts w:ascii="Arial" w:hAnsi="Arial"/>
                <w:b w:val="0"/>
                <w:sz w:val="17"/>
              </w:rPr>
              <w:t>Coordinated response</w:t>
            </w:r>
          </w:p>
        </w:tc>
      </w:tr>
      <w:tr>
        <w:tc>
          <w:tcPr>
            <w:tcW w:type="dxa" w:w="864"/>
            <w:vAlign w:val="center"/>
          </w:tcPr>
          <w:p>
            <w:pPr>
              <w:jc w:val="left"/>
            </w:pPr>
            <w:r/>
            <w:r>
              <w:rPr>
                <w:rFonts w:ascii="Arial" w:hAnsi="Arial"/>
                <w:b w:val="0"/>
                <w:sz w:val="17"/>
              </w:rPr>
              <w:t>8</w:t>
            </w:r>
          </w:p>
        </w:tc>
        <w:tc>
          <w:tcPr>
            <w:tcW w:type="dxa" w:w="6912"/>
            <w:vAlign w:val="center"/>
          </w:tcPr>
          <w:p>
            <w:pPr>
              <w:jc w:val="left"/>
            </w:pPr>
            <w:r/>
            <w:r>
              <w:rPr>
                <w:rFonts w:ascii="Arial" w:hAnsi="Arial"/>
                <w:b w:val="0"/>
                <w:sz w:val="17"/>
              </w:rPr>
              <w:t>Begin containment while maintaining sufficient visibility for analysis.</w:t>
            </w:r>
          </w:p>
        </w:tc>
        <w:tc>
          <w:tcPr>
            <w:tcW w:type="dxa" w:w="2160"/>
            <w:vAlign w:val="center"/>
          </w:tcPr>
          <w:p>
            <w:pPr>
              <w:jc w:val="left"/>
            </w:pPr>
            <w:r/>
            <w:r>
              <w:rPr>
                <w:rFonts w:ascii="Arial" w:hAnsi="Arial"/>
                <w:b w:val="0"/>
                <w:sz w:val="17"/>
              </w:rPr>
              <w:t>Reduced risk + continued investigation</w:t>
            </w:r>
          </w:p>
        </w:tc>
      </w:tr>
    </w:tbl>
    <w:p/>
    <w:p>
      <w:pPr>
        <w:pStyle w:val="Heading2"/>
      </w:pPr>
      <w:r>
        <w:t>7.1 Defensive Detection Sources</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D9EAF7"/>
          </w:tcPr>
          <w:p>
            <w:pPr>
              <w:jc w:val="left"/>
            </w:pPr>
            <w:r/>
            <w:r>
              <w:rPr>
                <w:rFonts w:ascii="Arial" w:hAnsi="Arial"/>
                <w:b/>
                <w:sz w:val="17"/>
              </w:rPr>
              <w:t>Source</w:t>
            </w:r>
          </w:p>
        </w:tc>
        <w:tc>
          <w:tcPr>
            <w:tcW w:type="dxa" w:w="4320"/>
            <w:vAlign w:val="center"/>
            <w:shd w:fill="D9EAF7"/>
          </w:tcPr>
          <w:p>
            <w:pPr>
              <w:jc w:val="left"/>
            </w:pPr>
            <w:r/>
            <w:r>
              <w:rPr>
                <w:rFonts w:ascii="Arial" w:hAnsi="Arial"/>
                <w:b/>
                <w:sz w:val="17"/>
              </w:rPr>
              <w:t>What It Can Help Identify</w:t>
            </w:r>
          </w:p>
        </w:tc>
        <w:tc>
          <w:tcPr>
            <w:tcW w:type="dxa" w:w="3168"/>
            <w:vAlign w:val="center"/>
            <w:shd w:fill="D9EAF7"/>
          </w:tcPr>
          <w:p>
            <w:pPr>
              <w:jc w:val="left"/>
            </w:pPr>
            <w:r/>
            <w:r>
              <w:rPr>
                <w:rFonts w:ascii="Arial" w:hAnsi="Arial"/>
                <w:b/>
                <w:sz w:val="17"/>
              </w:rPr>
              <w:t>Example Defensive Use</w:t>
            </w:r>
          </w:p>
        </w:tc>
      </w:tr>
      <w:tr>
        <w:tc>
          <w:tcPr>
            <w:tcW w:type="dxa" w:w="2448"/>
            <w:vAlign w:val="center"/>
          </w:tcPr>
          <w:p>
            <w:pPr>
              <w:jc w:val="left"/>
            </w:pPr>
            <w:r/>
            <w:r>
              <w:rPr>
                <w:rFonts w:ascii="Arial" w:hAnsi="Arial"/>
                <w:b w:val="0"/>
                <w:sz w:val="17"/>
              </w:rPr>
              <w:t>SIEM / centralized logs</w:t>
            </w:r>
          </w:p>
        </w:tc>
        <w:tc>
          <w:tcPr>
            <w:tcW w:type="dxa" w:w="4320"/>
            <w:vAlign w:val="center"/>
          </w:tcPr>
          <w:p>
            <w:pPr>
              <w:jc w:val="left"/>
            </w:pPr>
            <w:r/>
            <w:r>
              <w:rPr>
                <w:rFonts w:ascii="Arial" w:hAnsi="Arial"/>
                <w:b w:val="0"/>
                <w:sz w:val="17"/>
              </w:rPr>
              <w:t>Correlated authentication, network and application events</w:t>
            </w:r>
          </w:p>
        </w:tc>
        <w:tc>
          <w:tcPr>
            <w:tcW w:type="dxa" w:w="3168"/>
            <w:vAlign w:val="center"/>
          </w:tcPr>
          <w:p>
            <w:pPr>
              <w:jc w:val="left"/>
            </w:pPr>
            <w:r/>
            <w:r>
              <w:rPr>
                <w:rFonts w:ascii="Arial" w:hAnsi="Arial"/>
                <w:b w:val="0"/>
                <w:sz w:val="17"/>
              </w:rPr>
              <w:t>Create alerts and investigate timelines</w:t>
            </w:r>
          </w:p>
        </w:tc>
      </w:tr>
      <w:tr>
        <w:tc>
          <w:tcPr>
            <w:tcW w:type="dxa" w:w="2448"/>
            <w:vAlign w:val="center"/>
          </w:tcPr>
          <w:p>
            <w:pPr>
              <w:jc w:val="left"/>
            </w:pPr>
            <w:r/>
            <w:r>
              <w:rPr>
                <w:rFonts w:ascii="Arial" w:hAnsi="Arial"/>
                <w:b w:val="0"/>
                <w:sz w:val="17"/>
              </w:rPr>
              <w:t>EDR / endpoint telemetry</w:t>
            </w:r>
          </w:p>
        </w:tc>
        <w:tc>
          <w:tcPr>
            <w:tcW w:type="dxa" w:w="4320"/>
            <w:vAlign w:val="center"/>
          </w:tcPr>
          <w:p>
            <w:pPr>
              <w:jc w:val="left"/>
            </w:pPr>
            <w:r/>
            <w:r>
              <w:rPr>
                <w:rFonts w:ascii="Arial" w:hAnsi="Arial"/>
                <w:b w:val="0"/>
                <w:sz w:val="17"/>
              </w:rPr>
              <w:t>Suspicious endpoint activity and malware indicators</w:t>
            </w:r>
          </w:p>
        </w:tc>
        <w:tc>
          <w:tcPr>
            <w:tcW w:type="dxa" w:w="3168"/>
            <w:vAlign w:val="center"/>
          </w:tcPr>
          <w:p>
            <w:pPr>
              <w:jc w:val="left"/>
            </w:pPr>
            <w:r/>
            <w:r>
              <w:rPr>
                <w:rFonts w:ascii="Arial" w:hAnsi="Arial"/>
                <w:b w:val="0"/>
                <w:sz w:val="17"/>
              </w:rPr>
              <w:t>Investigate affected endpoints and isolate when authorized</w:t>
            </w:r>
          </w:p>
        </w:tc>
      </w:tr>
      <w:tr>
        <w:tc>
          <w:tcPr>
            <w:tcW w:type="dxa" w:w="2448"/>
            <w:vAlign w:val="center"/>
          </w:tcPr>
          <w:p>
            <w:pPr>
              <w:jc w:val="left"/>
            </w:pPr>
            <w:r/>
            <w:r>
              <w:rPr>
                <w:rFonts w:ascii="Arial" w:hAnsi="Arial"/>
                <w:b w:val="0"/>
                <w:sz w:val="17"/>
              </w:rPr>
              <w:t>WAF / API gateway</w:t>
            </w:r>
          </w:p>
        </w:tc>
        <w:tc>
          <w:tcPr>
            <w:tcW w:type="dxa" w:w="4320"/>
            <w:vAlign w:val="center"/>
          </w:tcPr>
          <w:p>
            <w:pPr>
              <w:jc w:val="left"/>
            </w:pPr>
            <w:r/>
            <w:r>
              <w:rPr>
                <w:rFonts w:ascii="Arial" w:hAnsi="Arial"/>
                <w:b w:val="0"/>
                <w:sz w:val="17"/>
              </w:rPr>
              <w:t>Abnormal web/API request patterns</w:t>
            </w:r>
          </w:p>
        </w:tc>
        <w:tc>
          <w:tcPr>
            <w:tcW w:type="dxa" w:w="3168"/>
            <w:vAlign w:val="center"/>
          </w:tcPr>
          <w:p>
            <w:pPr>
              <w:jc w:val="left"/>
            </w:pPr>
            <w:r/>
            <w:r>
              <w:rPr>
                <w:rFonts w:ascii="Arial" w:hAnsi="Arial"/>
                <w:b w:val="0"/>
                <w:sz w:val="17"/>
              </w:rPr>
              <w:t>Identify suspicious requests and protect exposed services</w:t>
            </w:r>
          </w:p>
        </w:tc>
      </w:tr>
      <w:tr>
        <w:tc>
          <w:tcPr>
            <w:tcW w:type="dxa" w:w="2448"/>
            <w:vAlign w:val="center"/>
          </w:tcPr>
          <w:p>
            <w:pPr>
              <w:jc w:val="left"/>
            </w:pPr>
            <w:r/>
            <w:r>
              <w:rPr>
                <w:rFonts w:ascii="Arial" w:hAnsi="Arial"/>
                <w:b w:val="0"/>
                <w:sz w:val="17"/>
              </w:rPr>
              <w:t>IAM / authentication logs</w:t>
            </w:r>
          </w:p>
        </w:tc>
        <w:tc>
          <w:tcPr>
            <w:tcW w:type="dxa" w:w="4320"/>
            <w:vAlign w:val="center"/>
          </w:tcPr>
          <w:p>
            <w:pPr>
              <w:jc w:val="left"/>
            </w:pPr>
            <w:r/>
            <w:r>
              <w:rPr>
                <w:rFonts w:ascii="Arial" w:hAnsi="Arial"/>
                <w:b w:val="0"/>
                <w:sz w:val="17"/>
              </w:rPr>
              <w:t>Unusual login, privilege and session behavior</w:t>
            </w:r>
          </w:p>
        </w:tc>
        <w:tc>
          <w:tcPr>
            <w:tcW w:type="dxa" w:w="3168"/>
            <w:vAlign w:val="center"/>
          </w:tcPr>
          <w:p>
            <w:pPr>
              <w:jc w:val="left"/>
            </w:pPr>
            <w:r/>
            <w:r>
              <w:rPr>
                <w:rFonts w:ascii="Arial" w:hAnsi="Arial"/>
                <w:b w:val="0"/>
                <w:sz w:val="17"/>
              </w:rPr>
              <w:t>Investigate account compromise</w:t>
            </w:r>
          </w:p>
        </w:tc>
      </w:tr>
      <w:tr>
        <w:tc>
          <w:tcPr>
            <w:tcW w:type="dxa" w:w="2448"/>
            <w:vAlign w:val="center"/>
          </w:tcPr>
          <w:p>
            <w:pPr>
              <w:jc w:val="left"/>
            </w:pPr>
            <w:r/>
            <w:r>
              <w:rPr>
                <w:rFonts w:ascii="Arial" w:hAnsi="Arial"/>
                <w:b w:val="0"/>
                <w:sz w:val="17"/>
              </w:rPr>
              <w:t>DNS / network telemetry</w:t>
            </w:r>
          </w:p>
        </w:tc>
        <w:tc>
          <w:tcPr>
            <w:tcW w:type="dxa" w:w="4320"/>
            <w:vAlign w:val="center"/>
          </w:tcPr>
          <w:p>
            <w:pPr>
              <w:jc w:val="left"/>
            </w:pPr>
            <w:r/>
            <w:r>
              <w:rPr>
                <w:rFonts w:ascii="Arial" w:hAnsi="Arial"/>
                <w:b w:val="0"/>
                <w:sz w:val="17"/>
              </w:rPr>
              <w:t>Unusual destinations or traffic patterns</w:t>
            </w:r>
          </w:p>
        </w:tc>
        <w:tc>
          <w:tcPr>
            <w:tcW w:type="dxa" w:w="3168"/>
            <w:vAlign w:val="center"/>
          </w:tcPr>
          <w:p>
            <w:pPr>
              <w:jc w:val="left"/>
            </w:pPr>
            <w:r/>
            <w:r>
              <w:rPr>
                <w:rFonts w:ascii="Arial" w:hAnsi="Arial"/>
                <w:b w:val="0"/>
                <w:sz w:val="17"/>
              </w:rPr>
              <w:t>Support investigation and blocking decisions</w:t>
            </w:r>
          </w:p>
        </w:tc>
      </w:tr>
      <w:tr>
        <w:tc>
          <w:tcPr>
            <w:tcW w:type="dxa" w:w="2448"/>
            <w:vAlign w:val="center"/>
          </w:tcPr>
          <w:p>
            <w:pPr>
              <w:jc w:val="left"/>
            </w:pPr>
            <w:r/>
            <w:r>
              <w:rPr>
                <w:rFonts w:ascii="Arial" w:hAnsi="Arial"/>
                <w:b w:val="0"/>
                <w:sz w:val="17"/>
              </w:rPr>
              <w:t>Application logs</w:t>
            </w:r>
          </w:p>
        </w:tc>
        <w:tc>
          <w:tcPr>
            <w:tcW w:type="dxa" w:w="4320"/>
            <w:vAlign w:val="center"/>
          </w:tcPr>
          <w:p>
            <w:pPr>
              <w:jc w:val="left"/>
            </w:pPr>
            <w:r/>
            <w:r>
              <w:rPr>
                <w:rFonts w:ascii="Arial" w:hAnsi="Arial"/>
                <w:b w:val="0"/>
                <w:sz w:val="17"/>
              </w:rPr>
              <w:t>Errors, authorization events and unusual application behavior</w:t>
            </w:r>
          </w:p>
        </w:tc>
        <w:tc>
          <w:tcPr>
            <w:tcW w:type="dxa" w:w="3168"/>
            <w:vAlign w:val="center"/>
          </w:tcPr>
          <w:p>
            <w:pPr>
              <w:jc w:val="left"/>
            </w:pPr>
            <w:r/>
            <w:r>
              <w:rPr>
                <w:rFonts w:ascii="Arial" w:hAnsi="Arial"/>
                <w:b w:val="0"/>
                <w:sz w:val="17"/>
              </w:rPr>
              <w:t>Correlate service impact with security events</w:t>
            </w:r>
          </w:p>
        </w:tc>
      </w:tr>
      <w:tr>
        <w:tc>
          <w:tcPr>
            <w:tcW w:type="dxa" w:w="2448"/>
            <w:vAlign w:val="center"/>
          </w:tcPr>
          <w:p>
            <w:pPr>
              <w:jc w:val="left"/>
            </w:pPr>
            <w:r/>
            <w:r>
              <w:rPr>
                <w:rFonts w:ascii="Arial" w:hAnsi="Arial"/>
                <w:b w:val="0"/>
                <w:sz w:val="17"/>
              </w:rPr>
              <w:t>User/service-owner reports</w:t>
            </w:r>
          </w:p>
        </w:tc>
        <w:tc>
          <w:tcPr>
            <w:tcW w:type="dxa" w:w="4320"/>
            <w:vAlign w:val="center"/>
          </w:tcPr>
          <w:p>
            <w:pPr>
              <w:jc w:val="left"/>
            </w:pPr>
            <w:r/>
            <w:r>
              <w:rPr>
                <w:rFonts w:ascii="Arial" w:hAnsi="Arial"/>
                <w:b w:val="0"/>
                <w:sz w:val="17"/>
              </w:rPr>
              <w:t>Unexpected behavior or service disruption</w:t>
            </w:r>
          </w:p>
        </w:tc>
        <w:tc>
          <w:tcPr>
            <w:tcW w:type="dxa" w:w="3168"/>
            <w:vAlign w:val="center"/>
          </w:tcPr>
          <w:p>
            <w:pPr>
              <w:jc w:val="left"/>
            </w:pPr>
            <w:r/>
            <w:r>
              <w:rPr>
                <w:rFonts w:ascii="Arial" w:hAnsi="Arial"/>
                <w:b w:val="0"/>
                <w:sz w:val="17"/>
              </w:rPr>
              <w:t>Trigger validation when automated detection is incomplete</w:t>
            </w:r>
          </w:p>
        </w:tc>
      </w:tr>
    </w:tbl>
    <w:p/>
    <w:p>
      <w:pPr>
        <w:pStyle w:val="Heading1"/>
      </w:pPr>
      <w:r>
        <w:t>8. Containment Procedures</w:t>
      </w:r>
    </w:p>
    <w:p>
      <w:pPr>
        <w:pStyle w:val="ListNumber"/>
        <w:spacing w:after="40"/>
      </w:pPr>
      <w:r>
        <w:t>Confirm authorization and identify the minimum containment action that reduces risk without causing unnecessary service disruption.</w:t>
      </w:r>
    </w:p>
    <w:p>
      <w:pPr>
        <w:pStyle w:val="ListNumber"/>
        <w:spacing w:after="40"/>
      </w:pPr>
      <w:r>
        <w:t>Isolate affected endpoints, servers, applications or network segments where appropriate.</w:t>
      </w:r>
    </w:p>
    <w:p>
      <w:pPr>
        <w:pStyle w:val="ListNumber"/>
        <w:spacing w:after="40"/>
      </w:pPr>
      <w:r>
        <w:t>Disable or restrict compromised accounts, sessions, tokens or API keys according to approved procedures.</w:t>
      </w:r>
    </w:p>
    <w:p>
      <w:pPr>
        <w:pStyle w:val="ListNumber"/>
        <w:spacing w:after="40"/>
      </w:pPr>
      <w:r>
        <w:t>Block confirmed malicious indicators at appropriate security controls while documenting the change.</w:t>
      </w:r>
    </w:p>
    <w:p>
      <w:pPr>
        <w:pStyle w:val="ListNumber"/>
        <w:spacing w:after="40"/>
      </w:pPr>
      <w:r>
        <w:t>Increase monitoring around affected assets and related accounts.</w:t>
      </w:r>
    </w:p>
    <w:p>
      <w:pPr>
        <w:pStyle w:val="ListNumber"/>
        <w:spacing w:after="40"/>
      </w:pPr>
      <w:r>
        <w:t>Preserve evidence before destructive or irreversible actions whenever operationally feasible.</w:t>
      </w:r>
    </w:p>
    <w:p>
      <w:pPr>
        <w:pStyle w:val="ListNumber"/>
        <w:spacing w:after="40"/>
      </w:pPr>
      <w:r>
        <w:t>Communicate service-impacting containment actions to the service owner and incident leadership.</w:t>
      </w:r>
    </w:p>
    <w:p>
      <w:pPr>
        <w:pStyle w:val="ListNumber"/>
        <w:spacing w:after="40"/>
      </w:pPr>
      <w:r>
        <w:t>Reassess scope after containment; if new malicious activity appears, return to analysis and update the containment plan.</w:t>
      </w:r>
    </w:p>
    <w:p>
      <w:pPr>
        <w:pStyle w:val="Heading1"/>
      </w:pPr>
      <w:r>
        <w:t>9. Practical E-Governance Incident Scenario</w:t>
      </w:r>
    </w:p>
    <w:p>
      <w:r>
        <w:t>Scenario: A privileged administrator account used to manage a citizen-facing digital service shows an unusual authentication pattern. Security monitoring generates an alert and the service owner reports unexpected changes. The following example demonstrates how the proposed plan can be applied without assuming a real incident.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vAlign w:val="center"/>
            <w:shd w:fill="D9EAF7"/>
          </w:tcPr>
          <w:p>
            <w:pPr>
              <w:jc w:val="left"/>
            </w:pPr>
            <w:r/>
            <w:r>
              <w:rPr>
                <w:rFonts w:ascii="Arial" w:hAnsi="Arial"/>
                <w:b/>
                <w:sz w:val="17"/>
              </w:rPr>
              <w:t>Stage</w:t>
            </w:r>
          </w:p>
        </w:tc>
        <w:tc>
          <w:tcPr>
            <w:tcW w:type="dxa" w:w="4320"/>
            <w:vAlign w:val="center"/>
            <w:shd w:fill="D9EAF7"/>
          </w:tcPr>
          <w:p>
            <w:pPr>
              <w:jc w:val="left"/>
            </w:pPr>
            <w:r/>
            <w:r>
              <w:rPr>
                <w:rFonts w:ascii="Arial" w:hAnsi="Arial"/>
                <w:b/>
                <w:sz w:val="17"/>
              </w:rPr>
              <w:t>Action</w:t>
            </w:r>
          </w:p>
        </w:tc>
        <w:tc>
          <w:tcPr>
            <w:tcW w:type="dxa" w:w="2448"/>
            <w:vAlign w:val="center"/>
            <w:shd w:fill="D9EAF7"/>
          </w:tcPr>
          <w:p>
            <w:pPr>
              <w:jc w:val="left"/>
            </w:pPr>
            <w:r/>
            <w:r>
              <w:rPr>
                <w:rFonts w:ascii="Arial" w:hAnsi="Arial"/>
                <w:b/>
                <w:sz w:val="17"/>
              </w:rPr>
              <w:t>Responsible Role</w:t>
            </w:r>
          </w:p>
        </w:tc>
        <w:tc>
          <w:tcPr>
            <w:tcW w:type="dxa" w:w="2304"/>
            <w:vAlign w:val="center"/>
            <w:shd w:fill="D9EAF7"/>
          </w:tcPr>
          <w:p>
            <w:pPr>
              <w:jc w:val="left"/>
            </w:pPr>
            <w:r/>
            <w:r>
              <w:rPr>
                <w:rFonts w:ascii="Arial" w:hAnsi="Arial"/>
                <w:b/>
                <w:sz w:val="17"/>
              </w:rPr>
              <w:t>Evidence / Output</w:t>
            </w:r>
          </w:p>
        </w:tc>
      </w:tr>
      <w:tr>
        <w:tc>
          <w:tcPr>
            <w:tcW w:type="dxa" w:w="1440"/>
            <w:vAlign w:val="center"/>
          </w:tcPr>
          <w:p>
            <w:pPr>
              <w:jc w:val="left"/>
            </w:pPr>
            <w:r/>
            <w:r>
              <w:rPr>
                <w:rFonts w:ascii="Arial" w:hAnsi="Arial"/>
                <w:b w:val="0"/>
                <w:sz w:val="17"/>
              </w:rPr>
              <w:t>Triage</w:t>
            </w:r>
          </w:p>
        </w:tc>
        <w:tc>
          <w:tcPr>
            <w:tcW w:type="dxa" w:w="4320"/>
            <w:vAlign w:val="center"/>
          </w:tcPr>
          <w:p>
            <w:pPr>
              <w:jc w:val="left"/>
            </w:pPr>
            <w:r/>
            <w:r>
              <w:rPr>
                <w:rFonts w:ascii="Arial" w:hAnsi="Arial"/>
                <w:b w:val="0"/>
                <w:sz w:val="17"/>
              </w:rPr>
              <w:t>Validate authentication and application logs and open an incident record.</w:t>
            </w:r>
          </w:p>
        </w:tc>
        <w:tc>
          <w:tcPr>
            <w:tcW w:type="dxa" w:w="2448"/>
            <w:vAlign w:val="center"/>
          </w:tcPr>
          <w:p>
            <w:pPr>
              <w:jc w:val="left"/>
            </w:pPr>
            <w:r/>
            <w:r>
              <w:rPr>
                <w:rFonts w:ascii="Arial" w:hAnsi="Arial"/>
                <w:b w:val="0"/>
                <w:sz w:val="17"/>
              </w:rPr>
              <w:t>SOC / IR Lead</w:t>
            </w:r>
          </w:p>
        </w:tc>
        <w:tc>
          <w:tcPr>
            <w:tcW w:type="dxa" w:w="2304"/>
            <w:vAlign w:val="center"/>
          </w:tcPr>
          <w:p>
            <w:pPr>
              <w:jc w:val="left"/>
            </w:pPr>
            <w:r/>
            <w:r>
              <w:rPr>
                <w:rFonts w:ascii="Arial" w:hAnsi="Arial"/>
                <w:b w:val="0"/>
                <w:sz w:val="17"/>
              </w:rPr>
              <w:t>Incident ID + timeline</w:t>
            </w:r>
          </w:p>
        </w:tc>
      </w:tr>
      <w:tr>
        <w:tc>
          <w:tcPr>
            <w:tcW w:type="dxa" w:w="1440"/>
            <w:vAlign w:val="center"/>
          </w:tcPr>
          <w:p>
            <w:pPr>
              <w:jc w:val="left"/>
            </w:pPr>
            <w:r/>
            <w:r>
              <w:rPr>
                <w:rFonts w:ascii="Arial" w:hAnsi="Arial"/>
                <w:b w:val="0"/>
                <w:sz w:val="17"/>
              </w:rPr>
              <w:t>Scope</w:t>
            </w:r>
          </w:p>
        </w:tc>
        <w:tc>
          <w:tcPr>
            <w:tcW w:type="dxa" w:w="4320"/>
            <w:vAlign w:val="center"/>
          </w:tcPr>
          <w:p>
            <w:pPr>
              <w:jc w:val="left"/>
            </w:pPr>
            <w:r/>
            <w:r>
              <w:rPr>
                <w:rFonts w:ascii="Arial" w:hAnsi="Arial"/>
                <w:b w:val="0"/>
                <w:sz w:val="17"/>
              </w:rPr>
              <w:t>Identify affected account, systems, sessions and relevant time window.</w:t>
            </w:r>
          </w:p>
        </w:tc>
        <w:tc>
          <w:tcPr>
            <w:tcW w:type="dxa" w:w="2448"/>
            <w:vAlign w:val="center"/>
          </w:tcPr>
          <w:p>
            <w:pPr>
              <w:jc w:val="left"/>
            </w:pPr>
            <w:r/>
            <w:r>
              <w:rPr>
                <w:rFonts w:ascii="Arial" w:hAnsi="Arial"/>
                <w:b w:val="0"/>
                <w:sz w:val="17"/>
              </w:rPr>
              <w:t>SOC + System Owner</w:t>
            </w:r>
          </w:p>
        </w:tc>
        <w:tc>
          <w:tcPr>
            <w:tcW w:type="dxa" w:w="2304"/>
            <w:vAlign w:val="center"/>
          </w:tcPr>
          <w:p>
            <w:pPr>
              <w:jc w:val="left"/>
            </w:pPr>
            <w:r/>
            <w:r>
              <w:rPr>
                <w:rFonts w:ascii="Arial" w:hAnsi="Arial"/>
                <w:b w:val="0"/>
                <w:sz w:val="17"/>
              </w:rPr>
              <w:t>Initial scope</w:t>
            </w:r>
          </w:p>
        </w:tc>
      </w:tr>
      <w:tr>
        <w:tc>
          <w:tcPr>
            <w:tcW w:type="dxa" w:w="1440"/>
            <w:vAlign w:val="center"/>
          </w:tcPr>
          <w:p>
            <w:pPr>
              <w:jc w:val="left"/>
            </w:pPr>
            <w:r/>
            <w:r>
              <w:rPr>
                <w:rFonts w:ascii="Arial" w:hAnsi="Arial"/>
                <w:b w:val="0"/>
                <w:sz w:val="17"/>
              </w:rPr>
              <w:t>Severity</w:t>
            </w:r>
          </w:p>
        </w:tc>
        <w:tc>
          <w:tcPr>
            <w:tcW w:type="dxa" w:w="4320"/>
            <w:vAlign w:val="center"/>
          </w:tcPr>
          <w:p>
            <w:pPr>
              <w:jc w:val="left"/>
            </w:pPr>
            <w:r/>
            <w:r>
              <w:rPr>
                <w:rFonts w:ascii="Arial" w:hAnsi="Arial"/>
                <w:b w:val="0"/>
                <w:sz w:val="17"/>
              </w:rPr>
              <w:t>Assess citizen/service impact, privilege level and persistence risk.</w:t>
            </w:r>
          </w:p>
        </w:tc>
        <w:tc>
          <w:tcPr>
            <w:tcW w:type="dxa" w:w="2448"/>
            <w:vAlign w:val="center"/>
          </w:tcPr>
          <w:p>
            <w:pPr>
              <w:jc w:val="left"/>
            </w:pPr>
            <w:r/>
            <w:r>
              <w:rPr>
                <w:rFonts w:ascii="Arial" w:hAnsi="Arial"/>
                <w:b w:val="0"/>
                <w:sz w:val="17"/>
              </w:rPr>
              <w:t>IR Lead + Management</w:t>
            </w:r>
          </w:p>
        </w:tc>
        <w:tc>
          <w:tcPr>
            <w:tcW w:type="dxa" w:w="2304"/>
            <w:vAlign w:val="center"/>
          </w:tcPr>
          <w:p>
            <w:pPr>
              <w:jc w:val="left"/>
            </w:pPr>
            <w:r/>
            <w:r>
              <w:rPr>
                <w:rFonts w:ascii="Arial" w:hAnsi="Arial"/>
                <w:b w:val="0"/>
                <w:sz w:val="17"/>
              </w:rPr>
              <w:t>Severity classification</w:t>
            </w:r>
          </w:p>
        </w:tc>
      </w:tr>
      <w:tr>
        <w:tc>
          <w:tcPr>
            <w:tcW w:type="dxa" w:w="1440"/>
            <w:vAlign w:val="center"/>
          </w:tcPr>
          <w:p>
            <w:pPr>
              <w:jc w:val="left"/>
            </w:pPr>
            <w:r/>
            <w:r>
              <w:rPr>
                <w:rFonts w:ascii="Arial" w:hAnsi="Arial"/>
                <w:b w:val="0"/>
                <w:sz w:val="17"/>
              </w:rPr>
              <w:t>Containment</w:t>
            </w:r>
          </w:p>
        </w:tc>
        <w:tc>
          <w:tcPr>
            <w:tcW w:type="dxa" w:w="4320"/>
            <w:vAlign w:val="center"/>
          </w:tcPr>
          <w:p>
            <w:pPr>
              <w:jc w:val="left"/>
            </w:pPr>
            <w:r/>
            <w:r>
              <w:rPr>
                <w:rFonts w:ascii="Arial" w:hAnsi="Arial"/>
                <w:b w:val="0"/>
                <w:sz w:val="17"/>
              </w:rPr>
              <w:t>Restrict compromised access and apply approved containment controls.</w:t>
            </w:r>
          </w:p>
        </w:tc>
        <w:tc>
          <w:tcPr>
            <w:tcW w:type="dxa" w:w="2448"/>
            <w:vAlign w:val="center"/>
          </w:tcPr>
          <w:p>
            <w:pPr>
              <w:jc w:val="left"/>
            </w:pPr>
            <w:r/>
            <w:r>
              <w:rPr>
                <w:rFonts w:ascii="Arial" w:hAnsi="Arial"/>
                <w:b w:val="0"/>
                <w:sz w:val="17"/>
              </w:rPr>
              <w:t>IAM / IT / SOC</w:t>
            </w:r>
          </w:p>
        </w:tc>
        <w:tc>
          <w:tcPr>
            <w:tcW w:type="dxa" w:w="2304"/>
            <w:vAlign w:val="center"/>
          </w:tcPr>
          <w:p>
            <w:pPr>
              <w:jc w:val="left"/>
            </w:pPr>
            <w:r/>
            <w:r>
              <w:rPr>
                <w:rFonts w:ascii="Arial" w:hAnsi="Arial"/>
                <w:b w:val="0"/>
                <w:sz w:val="17"/>
              </w:rPr>
              <w:t>Containment record</w:t>
            </w:r>
          </w:p>
        </w:tc>
      </w:tr>
      <w:tr>
        <w:tc>
          <w:tcPr>
            <w:tcW w:type="dxa" w:w="1440"/>
            <w:vAlign w:val="center"/>
          </w:tcPr>
          <w:p>
            <w:pPr>
              <w:jc w:val="left"/>
            </w:pPr>
            <w:r/>
            <w:r>
              <w:rPr>
                <w:rFonts w:ascii="Arial" w:hAnsi="Arial"/>
                <w:b w:val="0"/>
                <w:sz w:val="17"/>
              </w:rPr>
              <w:t>Analysis</w:t>
            </w:r>
          </w:p>
        </w:tc>
        <w:tc>
          <w:tcPr>
            <w:tcW w:type="dxa" w:w="4320"/>
            <w:vAlign w:val="center"/>
          </w:tcPr>
          <w:p>
            <w:pPr>
              <w:jc w:val="left"/>
            </w:pPr>
            <w:r/>
            <w:r>
              <w:rPr>
                <w:rFonts w:ascii="Arial" w:hAnsi="Arial"/>
                <w:b w:val="0"/>
                <w:sz w:val="17"/>
              </w:rPr>
              <w:t>Correlate CTI, logs and vulnerability information to determine likely access path.</w:t>
            </w:r>
          </w:p>
        </w:tc>
        <w:tc>
          <w:tcPr>
            <w:tcW w:type="dxa" w:w="2448"/>
            <w:vAlign w:val="center"/>
          </w:tcPr>
          <w:p>
            <w:pPr>
              <w:jc w:val="left"/>
            </w:pPr>
            <w:r/>
            <w:r>
              <w:rPr>
                <w:rFonts w:ascii="Arial" w:hAnsi="Arial"/>
                <w:b w:val="0"/>
                <w:sz w:val="17"/>
              </w:rPr>
              <w:t>SOC + Vulnerability Team</w:t>
            </w:r>
          </w:p>
        </w:tc>
        <w:tc>
          <w:tcPr>
            <w:tcW w:type="dxa" w:w="2304"/>
            <w:vAlign w:val="center"/>
          </w:tcPr>
          <w:p>
            <w:pPr>
              <w:jc w:val="left"/>
            </w:pPr>
            <w:r/>
            <w:r>
              <w:rPr>
                <w:rFonts w:ascii="Arial" w:hAnsi="Arial"/>
                <w:b w:val="0"/>
                <w:sz w:val="17"/>
              </w:rPr>
              <w:t>Working root-cause hypothesis</w:t>
            </w:r>
          </w:p>
        </w:tc>
      </w:tr>
      <w:tr>
        <w:tc>
          <w:tcPr>
            <w:tcW w:type="dxa" w:w="1440"/>
            <w:vAlign w:val="center"/>
          </w:tcPr>
          <w:p>
            <w:pPr>
              <w:jc w:val="left"/>
            </w:pPr>
            <w:r/>
            <w:r>
              <w:rPr>
                <w:rFonts w:ascii="Arial" w:hAnsi="Arial"/>
                <w:b w:val="0"/>
                <w:sz w:val="17"/>
              </w:rPr>
              <w:t>Eradication</w:t>
            </w:r>
          </w:p>
        </w:tc>
        <w:tc>
          <w:tcPr>
            <w:tcW w:type="dxa" w:w="4320"/>
            <w:vAlign w:val="center"/>
          </w:tcPr>
          <w:p>
            <w:pPr>
              <w:jc w:val="left"/>
            </w:pPr>
            <w:r/>
            <w:r>
              <w:rPr>
                <w:rFonts w:ascii="Arial" w:hAnsi="Arial"/>
                <w:b w:val="0"/>
                <w:sz w:val="17"/>
              </w:rPr>
              <w:t>Remove unauthorized access, address the exploited weakness and reset affected credentials.</w:t>
            </w:r>
          </w:p>
        </w:tc>
        <w:tc>
          <w:tcPr>
            <w:tcW w:type="dxa" w:w="2448"/>
            <w:vAlign w:val="center"/>
          </w:tcPr>
          <w:p>
            <w:pPr>
              <w:jc w:val="left"/>
            </w:pPr>
            <w:r/>
            <w:r>
              <w:rPr>
                <w:rFonts w:ascii="Arial" w:hAnsi="Arial"/>
                <w:b w:val="0"/>
                <w:sz w:val="17"/>
              </w:rPr>
              <w:t>IT / App Owner</w:t>
            </w:r>
          </w:p>
        </w:tc>
        <w:tc>
          <w:tcPr>
            <w:tcW w:type="dxa" w:w="2304"/>
            <w:vAlign w:val="center"/>
          </w:tcPr>
          <w:p>
            <w:pPr>
              <w:jc w:val="left"/>
            </w:pPr>
            <w:r/>
            <w:r>
              <w:rPr>
                <w:rFonts w:ascii="Arial" w:hAnsi="Arial"/>
                <w:b w:val="0"/>
                <w:sz w:val="17"/>
              </w:rPr>
              <w:t>Remediation evidence</w:t>
            </w:r>
          </w:p>
        </w:tc>
      </w:tr>
      <w:tr>
        <w:tc>
          <w:tcPr>
            <w:tcW w:type="dxa" w:w="1440"/>
            <w:vAlign w:val="center"/>
          </w:tcPr>
          <w:p>
            <w:pPr>
              <w:jc w:val="left"/>
            </w:pPr>
            <w:r/>
            <w:r>
              <w:rPr>
                <w:rFonts w:ascii="Arial" w:hAnsi="Arial"/>
                <w:b w:val="0"/>
                <w:sz w:val="17"/>
              </w:rPr>
              <w:t>Recovery</w:t>
            </w:r>
          </w:p>
        </w:tc>
        <w:tc>
          <w:tcPr>
            <w:tcW w:type="dxa" w:w="4320"/>
            <w:vAlign w:val="center"/>
          </w:tcPr>
          <w:p>
            <w:pPr>
              <w:jc w:val="left"/>
            </w:pPr>
            <w:r/>
            <w:r>
              <w:rPr>
                <w:rFonts w:ascii="Arial" w:hAnsi="Arial"/>
                <w:b w:val="0"/>
                <w:sz w:val="17"/>
              </w:rPr>
              <w:t>Restore affected service components and validate authentication, authorization, integrity and logging.</w:t>
            </w:r>
          </w:p>
        </w:tc>
        <w:tc>
          <w:tcPr>
            <w:tcW w:type="dxa" w:w="2448"/>
            <w:vAlign w:val="center"/>
          </w:tcPr>
          <w:p>
            <w:pPr>
              <w:jc w:val="left"/>
            </w:pPr>
            <w:r/>
            <w:r>
              <w:rPr>
                <w:rFonts w:ascii="Arial" w:hAnsi="Arial"/>
                <w:b w:val="0"/>
                <w:sz w:val="17"/>
              </w:rPr>
              <w:t>IT + App Owner</w:t>
            </w:r>
          </w:p>
        </w:tc>
        <w:tc>
          <w:tcPr>
            <w:tcW w:type="dxa" w:w="2304"/>
            <w:vAlign w:val="center"/>
          </w:tcPr>
          <w:p>
            <w:pPr>
              <w:jc w:val="left"/>
            </w:pPr>
            <w:r/>
            <w:r>
              <w:rPr>
                <w:rFonts w:ascii="Arial" w:hAnsi="Arial"/>
                <w:b w:val="0"/>
                <w:sz w:val="17"/>
              </w:rPr>
              <w:t>Recovery validation</w:t>
            </w:r>
          </w:p>
        </w:tc>
      </w:tr>
      <w:tr>
        <w:tc>
          <w:tcPr>
            <w:tcW w:type="dxa" w:w="1440"/>
            <w:vAlign w:val="center"/>
          </w:tcPr>
          <w:p>
            <w:pPr>
              <w:jc w:val="left"/>
            </w:pPr>
            <w:r/>
            <w:r>
              <w:rPr>
                <w:rFonts w:ascii="Arial" w:hAnsi="Arial"/>
                <w:b w:val="0"/>
                <w:sz w:val="17"/>
              </w:rPr>
              <w:t>Post-incident</w:t>
            </w:r>
          </w:p>
        </w:tc>
        <w:tc>
          <w:tcPr>
            <w:tcW w:type="dxa" w:w="4320"/>
            <w:vAlign w:val="center"/>
          </w:tcPr>
          <w:p>
            <w:pPr>
              <w:jc w:val="left"/>
            </w:pPr>
            <w:r/>
            <w:r>
              <w:rPr>
                <w:rFonts w:ascii="Arial" w:hAnsi="Arial"/>
                <w:b w:val="0"/>
                <w:sz w:val="17"/>
              </w:rPr>
              <w:t>Document root cause, control gaps and corrective actions; update detections and playbooks.</w:t>
            </w:r>
          </w:p>
        </w:tc>
        <w:tc>
          <w:tcPr>
            <w:tcW w:type="dxa" w:w="2448"/>
            <w:vAlign w:val="center"/>
          </w:tcPr>
          <w:p>
            <w:pPr>
              <w:jc w:val="left"/>
            </w:pPr>
            <w:r/>
            <w:r>
              <w:rPr>
                <w:rFonts w:ascii="Arial" w:hAnsi="Arial"/>
                <w:b w:val="0"/>
                <w:sz w:val="17"/>
              </w:rPr>
              <w:t>IR Lead + Management</w:t>
            </w:r>
          </w:p>
        </w:tc>
        <w:tc>
          <w:tcPr>
            <w:tcW w:type="dxa" w:w="2304"/>
            <w:vAlign w:val="center"/>
          </w:tcPr>
          <w:p>
            <w:pPr>
              <w:jc w:val="left"/>
            </w:pPr>
            <w:r/>
            <w:r>
              <w:rPr>
                <w:rFonts w:ascii="Arial" w:hAnsi="Arial"/>
                <w:b w:val="0"/>
                <w:sz w:val="17"/>
              </w:rPr>
              <w:t>Lessons-learned report</w:t>
            </w:r>
          </w:p>
        </w:tc>
      </w:tr>
    </w:tbl>
    <w:p/>
    <w:p>
      <w:pPr>
        <w:pStyle w:val="Heading1"/>
      </w:pPr>
      <w:r>
        <w:t>10. Eradication and Recovery Procedures</w:t>
      </w:r>
    </w:p>
    <w:p>
      <w:pPr>
        <w:pStyle w:val="Heading2"/>
      </w:pPr>
      <w:r>
        <w:t>10.1 Eradication</w:t>
      </w:r>
    </w:p>
    <w:p>
      <w:pPr>
        <w:pStyle w:val="ListBullet"/>
        <w:spacing w:after="40"/>
      </w:pPr>
      <w:r>
        <w:t>Confirm the suspected initial access path and ensure the scope is understood before major remediation.</w:t>
      </w:r>
    </w:p>
    <w:p>
      <w:pPr>
        <w:pStyle w:val="ListBullet"/>
        <w:spacing w:after="40"/>
      </w:pPr>
      <w:r>
        <w:t>Remove unauthorized accounts, malicious artifacts and persistence mechanisms identified during analysis.</w:t>
      </w:r>
    </w:p>
    <w:p>
      <w:pPr>
        <w:pStyle w:val="ListBullet"/>
        <w:spacing w:after="40"/>
      </w:pPr>
      <w:r>
        <w:t>Patch or otherwise remediate the vulnerability or misconfiguration that enabled the incident.</w:t>
      </w:r>
    </w:p>
    <w:p>
      <w:pPr>
        <w:pStyle w:val="ListBullet"/>
        <w:spacing w:after="40"/>
      </w:pPr>
      <w:r>
        <w:t>Reset credentials or tokens that may have been compromised, following approved identity procedures.</w:t>
      </w:r>
    </w:p>
    <w:p>
      <w:pPr>
        <w:pStyle w:val="ListBullet"/>
        <w:spacing w:after="40"/>
      </w:pPr>
      <w:r>
        <w:t>Rebuild or reimage affected systems from trusted sources when required.</w:t>
      </w:r>
    </w:p>
    <w:p>
      <w:pPr>
        <w:pStyle w:val="ListBullet"/>
        <w:spacing w:after="40"/>
      </w:pPr>
      <w:r>
        <w:t>Continue monitoring after remediation to identify signs of re-entry or unresolved persistence.</w:t>
      </w:r>
    </w:p>
    <w:p>
      <w:pPr>
        <w:pStyle w:val="Heading2"/>
      </w:pPr>
      <w:r>
        <w:t>10.2 Recovery</w:t>
      </w:r>
    </w:p>
    <w:p>
      <w:pPr>
        <w:pStyle w:val="ListNumber"/>
        <w:spacing w:after="40"/>
      </w:pPr>
      <w:r>
        <w:t>Confirm that eradication actions are complete and the environment is ready for restoration.</w:t>
      </w:r>
    </w:p>
    <w:p>
      <w:pPr>
        <w:pStyle w:val="ListNumber"/>
        <w:spacing w:after="40"/>
      </w:pPr>
      <w:r>
        <w:t>Restore systems or data from known-good sources according to documented recovery priorities.</w:t>
      </w:r>
    </w:p>
    <w:p>
      <w:pPr>
        <w:pStyle w:val="ListNumber"/>
        <w:spacing w:after="40"/>
      </w:pPr>
      <w:r>
        <w:t>Validate authentication, authorization, system integrity, logging, monitoring, backup status and security controls.</w:t>
      </w:r>
    </w:p>
    <w:p>
      <w:pPr>
        <w:pStyle w:val="ListNumber"/>
        <w:spacing w:after="40"/>
      </w:pPr>
      <w:r>
        <w:t>Restore services gradually where practical, starting with the most critical functions.</w:t>
      </w:r>
    </w:p>
    <w:p>
      <w:pPr>
        <w:pStyle w:val="ListNumber"/>
        <w:spacing w:after="40"/>
      </w:pPr>
      <w:r>
        <w:t>Monitor restored services for unusual behavior and compare with the expected baseline.</w:t>
      </w:r>
    </w:p>
    <w:p>
      <w:pPr>
        <w:pStyle w:val="ListNumber"/>
        <w:spacing w:after="40"/>
      </w:pPr>
      <w:r>
        <w:t>Obtain service-owner confirmation that the service is operating normally.</w:t>
      </w:r>
    </w:p>
    <w:p>
      <w:pPr>
        <w:pStyle w:val="ListNumber"/>
        <w:spacing w:after="40"/>
      </w:pPr>
      <w:r>
        <w:t>Close the recovery stage only after required evidence and approvals are recorded.</w:t>
      </w:r>
    </w:p>
    <w:p>
      <w:pPr>
        <w:pStyle w:val="Heading2"/>
      </w:pPr>
      <w:r>
        <w:t>10.3 Recovery Validation Checklist</w:t>
      </w:r>
    </w:p>
    <w:tbl>
      <w:tblPr>
        <w:tblStyle w:val="TableGrid"/>
        <w:tblW w:type="auto" w:w="0"/>
        <w:jc w:val="center"/>
        <w:tblLook w:firstColumn="1" w:firstRow="1" w:lastColumn="0" w:lastRow="0" w:noHBand="0" w:noVBand="1" w:val="04A0"/>
      </w:tblPr>
      <w:tblGrid>
        <w:gridCol w:w="4968"/>
        <w:gridCol w:w="4968"/>
      </w:tblGrid>
      <w:tr>
        <w:tc>
          <w:tcPr>
            <w:tcW w:type="dxa" w:w="3312"/>
            <w:vAlign w:val="center"/>
            <w:shd w:fill="D9EAF7"/>
          </w:tcPr>
          <w:p>
            <w:pPr>
              <w:jc w:val="left"/>
            </w:pPr>
            <w:r/>
            <w:r>
              <w:rPr>
                <w:rFonts w:ascii="Arial" w:hAnsi="Arial"/>
                <w:b/>
                <w:sz w:val="17"/>
              </w:rPr>
              <w:t>Validation Item</w:t>
            </w:r>
          </w:p>
        </w:tc>
        <w:tc>
          <w:tcPr>
            <w:tcW w:type="dxa" w:w="6480"/>
            <w:vAlign w:val="center"/>
            <w:shd w:fill="D9EAF7"/>
          </w:tcPr>
          <w:p>
            <w:pPr>
              <w:jc w:val="left"/>
            </w:pPr>
            <w:r/>
            <w:r>
              <w:rPr>
                <w:rFonts w:ascii="Arial" w:hAnsi="Arial"/>
                <w:b/>
                <w:sz w:val="17"/>
              </w:rPr>
              <w:t>Pass Condition</w:t>
            </w:r>
          </w:p>
        </w:tc>
      </w:tr>
      <w:tr>
        <w:tc>
          <w:tcPr>
            <w:tcW w:type="dxa" w:w="3312"/>
            <w:vAlign w:val="center"/>
          </w:tcPr>
          <w:p>
            <w:pPr>
              <w:jc w:val="left"/>
            </w:pPr>
            <w:r/>
            <w:r>
              <w:rPr>
                <w:rFonts w:ascii="Arial" w:hAnsi="Arial"/>
                <w:b w:val="0"/>
                <w:sz w:val="17"/>
              </w:rPr>
              <w:t>Access control</w:t>
            </w:r>
          </w:p>
        </w:tc>
        <w:tc>
          <w:tcPr>
            <w:tcW w:type="dxa" w:w="6480"/>
            <w:vAlign w:val="center"/>
          </w:tcPr>
          <w:p>
            <w:pPr>
              <w:jc w:val="left"/>
            </w:pPr>
            <w:r/>
            <w:r>
              <w:rPr>
                <w:rFonts w:ascii="Arial" w:hAnsi="Arial"/>
                <w:b w:val="0"/>
                <w:sz w:val="17"/>
              </w:rPr>
              <w:t>Only authorized users and services retain access.</w:t>
            </w:r>
          </w:p>
        </w:tc>
      </w:tr>
      <w:tr>
        <w:tc>
          <w:tcPr>
            <w:tcW w:type="dxa" w:w="3312"/>
            <w:vAlign w:val="center"/>
          </w:tcPr>
          <w:p>
            <w:pPr>
              <w:jc w:val="left"/>
            </w:pPr>
            <w:r/>
            <w:r>
              <w:rPr>
                <w:rFonts w:ascii="Arial" w:hAnsi="Arial"/>
                <w:b w:val="0"/>
                <w:sz w:val="17"/>
              </w:rPr>
              <w:t>Credentials/tokens</w:t>
            </w:r>
          </w:p>
        </w:tc>
        <w:tc>
          <w:tcPr>
            <w:tcW w:type="dxa" w:w="6480"/>
            <w:vAlign w:val="center"/>
          </w:tcPr>
          <w:p>
            <w:pPr>
              <w:jc w:val="left"/>
            </w:pPr>
            <w:r/>
            <w:r>
              <w:rPr>
                <w:rFonts w:ascii="Arial" w:hAnsi="Arial"/>
                <w:b w:val="0"/>
                <w:sz w:val="17"/>
              </w:rPr>
              <w:t>Compromised credentials/tokens have been handled according to policy.</w:t>
            </w:r>
          </w:p>
        </w:tc>
      </w:tr>
      <w:tr>
        <w:tc>
          <w:tcPr>
            <w:tcW w:type="dxa" w:w="3312"/>
            <w:vAlign w:val="center"/>
          </w:tcPr>
          <w:p>
            <w:pPr>
              <w:jc w:val="left"/>
            </w:pPr>
            <w:r/>
            <w:r>
              <w:rPr>
                <w:rFonts w:ascii="Arial" w:hAnsi="Arial"/>
                <w:b w:val="0"/>
                <w:sz w:val="17"/>
              </w:rPr>
              <w:t>System integrity</w:t>
            </w:r>
          </w:p>
        </w:tc>
        <w:tc>
          <w:tcPr>
            <w:tcW w:type="dxa" w:w="6480"/>
            <w:vAlign w:val="center"/>
          </w:tcPr>
          <w:p>
            <w:pPr>
              <w:jc w:val="left"/>
            </w:pPr>
            <w:r/>
            <w:r>
              <w:rPr>
                <w:rFonts w:ascii="Arial" w:hAnsi="Arial"/>
                <w:b w:val="0"/>
                <w:sz w:val="17"/>
              </w:rPr>
              <w:t>Restored systems and files are from trusted sources and validated.</w:t>
            </w:r>
          </w:p>
        </w:tc>
      </w:tr>
      <w:tr>
        <w:tc>
          <w:tcPr>
            <w:tcW w:type="dxa" w:w="3312"/>
            <w:vAlign w:val="center"/>
          </w:tcPr>
          <w:p>
            <w:pPr>
              <w:jc w:val="left"/>
            </w:pPr>
            <w:r/>
            <w:r>
              <w:rPr>
                <w:rFonts w:ascii="Arial" w:hAnsi="Arial"/>
                <w:b w:val="0"/>
                <w:sz w:val="17"/>
              </w:rPr>
              <w:t>Vulnerability</w:t>
            </w:r>
          </w:p>
        </w:tc>
        <w:tc>
          <w:tcPr>
            <w:tcW w:type="dxa" w:w="6480"/>
            <w:vAlign w:val="center"/>
          </w:tcPr>
          <w:p>
            <w:pPr>
              <w:jc w:val="left"/>
            </w:pPr>
            <w:r/>
            <w:r>
              <w:rPr>
                <w:rFonts w:ascii="Arial" w:hAnsi="Arial"/>
                <w:b w:val="0"/>
                <w:sz w:val="17"/>
              </w:rPr>
              <w:t>Known exploited weakness is remediated or compensating control is verified.</w:t>
            </w:r>
          </w:p>
        </w:tc>
      </w:tr>
      <w:tr>
        <w:tc>
          <w:tcPr>
            <w:tcW w:type="dxa" w:w="3312"/>
            <w:vAlign w:val="center"/>
          </w:tcPr>
          <w:p>
            <w:pPr>
              <w:jc w:val="left"/>
            </w:pPr>
            <w:r/>
            <w:r>
              <w:rPr>
                <w:rFonts w:ascii="Arial" w:hAnsi="Arial"/>
                <w:b w:val="0"/>
                <w:sz w:val="17"/>
              </w:rPr>
              <w:t>Logging</w:t>
            </w:r>
          </w:p>
        </w:tc>
        <w:tc>
          <w:tcPr>
            <w:tcW w:type="dxa" w:w="6480"/>
            <w:vAlign w:val="center"/>
          </w:tcPr>
          <w:p>
            <w:pPr>
              <w:jc w:val="left"/>
            </w:pPr>
            <w:r/>
            <w:r>
              <w:rPr>
                <w:rFonts w:ascii="Arial" w:hAnsi="Arial"/>
                <w:b w:val="0"/>
                <w:sz w:val="17"/>
              </w:rPr>
              <w:t>Required security and application logs are active and monitored.</w:t>
            </w:r>
          </w:p>
        </w:tc>
      </w:tr>
      <w:tr>
        <w:tc>
          <w:tcPr>
            <w:tcW w:type="dxa" w:w="3312"/>
            <w:vAlign w:val="center"/>
          </w:tcPr>
          <w:p>
            <w:pPr>
              <w:jc w:val="left"/>
            </w:pPr>
            <w:r/>
            <w:r>
              <w:rPr>
                <w:rFonts w:ascii="Arial" w:hAnsi="Arial"/>
                <w:b w:val="0"/>
                <w:sz w:val="17"/>
              </w:rPr>
              <w:t>Backups</w:t>
            </w:r>
          </w:p>
        </w:tc>
        <w:tc>
          <w:tcPr>
            <w:tcW w:type="dxa" w:w="6480"/>
            <w:vAlign w:val="center"/>
          </w:tcPr>
          <w:p>
            <w:pPr>
              <w:jc w:val="left"/>
            </w:pPr>
            <w:r/>
            <w:r>
              <w:rPr>
                <w:rFonts w:ascii="Arial" w:hAnsi="Arial"/>
                <w:b w:val="0"/>
                <w:sz w:val="17"/>
              </w:rPr>
              <w:t>Recovery source is verified and restoration test evidence exists.</w:t>
            </w:r>
          </w:p>
        </w:tc>
      </w:tr>
      <w:tr>
        <w:tc>
          <w:tcPr>
            <w:tcW w:type="dxa" w:w="3312"/>
            <w:vAlign w:val="center"/>
          </w:tcPr>
          <w:p>
            <w:pPr>
              <w:jc w:val="left"/>
            </w:pPr>
            <w:r/>
            <w:r>
              <w:rPr>
                <w:rFonts w:ascii="Arial" w:hAnsi="Arial"/>
                <w:b w:val="0"/>
                <w:sz w:val="17"/>
              </w:rPr>
              <w:t>Service functionality</w:t>
            </w:r>
          </w:p>
        </w:tc>
        <w:tc>
          <w:tcPr>
            <w:tcW w:type="dxa" w:w="6480"/>
            <w:vAlign w:val="center"/>
          </w:tcPr>
          <w:p>
            <w:pPr>
              <w:jc w:val="left"/>
            </w:pPr>
            <w:r/>
            <w:r>
              <w:rPr>
                <w:rFonts w:ascii="Arial" w:hAnsi="Arial"/>
                <w:b w:val="0"/>
                <w:sz w:val="17"/>
              </w:rPr>
              <w:t>Critical citizen-facing functions work as expected.</w:t>
            </w:r>
          </w:p>
        </w:tc>
      </w:tr>
      <w:tr>
        <w:tc>
          <w:tcPr>
            <w:tcW w:type="dxa" w:w="3312"/>
            <w:vAlign w:val="center"/>
          </w:tcPr>
          <w:p>
            <w:pPr>
              <w:jc w:val="left"/>
            </w:pPr>
            <w:r/>
            <w:r>
              <w:rPr>
                <w:rFonts w:ascii="Arial" w:hAnsi="Arial"/>
                <w:b w:val="0"/>
                <w:sz w:val="17"/>
              </w:rPr>
              <w:t>Monitoring</w:t>
            </w:r>
          </w:p>
        </w:tc>
        <w:tc>
          <w:tcPr>
            <w:tcW w:type="dxa" w:w="6480"/>
            <w:vAlign w:val="center"/>
          </w:tcPr>
          <w:p>
            <w:pPr>
              <w:jc w:val="left"/>
            </w:pPr>
            <w:r/>
            <w:r>
              <w:rPr>
                <w:rFonts w:ascii="Arial" w:hAnsi="Arial"/>
                <w:b w:val="0"/>
                <w:sz w:val="17"/>
              </w:rPr>
              <w:t>Heightened monitoring is active for an appropriate period.</w:t>
            </w:r>
          </w:p>
        </w:tc>
      </w:tr>
      <w:tr>
        <w:tc>
          <w:tcPr>
            <w:tcW w:type="dxa" w:w="3312"/>
            <w:vAlign w:val="center"/>
          </w:tcPr>
          <w:p>
            <w:pPr>
              <w:jc w:val="left"/>
            </w:pPr>
            <w:r/>
            <w:r>
              <w:rPr>
                <w:rFonts w:ascii="Arial" w:hAnsi="Arial"/>
                <w:b w:val="0"/>
                <w:sz w:val="17"/>
              </w:rPr>
              <w:t>Documentation</w:t>
            </w:r>
          </w:p>
        </w:tc>
        <w:tc>
          <w:tcPr>
            <w:tcW w:type="dxa" w:w="6480"/>
            <w:vAlign w:val="center"/>
          </w:tcPr>
          <w:p>
            <w:pPr>
              <w:jc w:val="left"/>
            </w:pPr>
            <w:r/>
            <w:r>
              <w:rPr>
                <w:rFonts w:ascii="Arial" w:hAnsi="Arial"/>
                <w:b w:val="0"/>
                <w:sz w:val="17"/>
              </w:rPr>
              <w:t>Actions, decisions, evidence and approvals are recorded.</w:t>
            </w:r>
          </w:p>
        </w:tc>
      </w:tr>
    </w:tbl>
    <w:p/>
    <w:p>
      <w:pPr>
        <w:pStyle w:val="Heading1"/>
      </w:pPr>
      <w:r>
        <w:t>11. Roles and Responsibilities</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pPr>
              <w:jc w:val="left"/>
            </w:pPr>
            <w:r/>
            <w:r>
              <w:rPr>
                <w:rFonts w:ascii="Arial" w:hAnsi="Arial"/>
                <w:b/>
                <w:sz w:val="17"/>
              </w:rPr>
              <w:t>Role</w:t>
            </w:r>
          </w:p>
        </w:tc>
        <w:tc>
          <w:tcPr>
            <w:tcW w:type="dxa" w:w="7200"/>
            <w:vAlign w:val="center"/>
            <w:shd w:fill="D9EAF7"/>
          </w:tcPr>
          <w:p>
            <w:pPr>
              <w:jc w:val="left"/>
            </w:pPr>
            <w:r/>
            <w:r>
              <w:rPr>
                <w:rFonts w:ascii="Arial" w:hAnsi="Arial"/>
                <w:b/>
                <w:sz w:val="17"/>
              </w:rPr>
              <w:t>Key Responsibilities During an Incident</w:t>
            </w:r>
          </w:p>
        </w:tc>
      </w:tr>
      <w:tr>
        <w:tc>
          <w:tcPr>
            <w:tcW w:type="dxa" w:w="2592"/>
            <w:vAlign w:val="center"/>
          </w:tcPr>
          <w:p>
            <w:pPr>
              <w:jc w:val="left"/>
            </w:pPr>
            <w:r/>
            <w:r>
              <w:rPr>
                <w:rFonts w:ascii="Arial" w:hAnsi="Arial"/>
                <w:b w:val="0"/>
                <w:sz w:val="17"/>
              </w:rPr>
              <w:t>Incident Response Lead</w:t>
            </w:r>
          </w:p>
        </w:tc>
        <w:tc>
          <w:tcPr>
            <w:tcW w:type="dxa" w:w="7200"/>
            <w:vAlign w:val="center"/>
          </w:tcPr>
          <w:p>
            <w:pPr>
              <w:jc w:val="left"/>
            </w:pPr>
            <w:r/>
            <w:r>
              <w:rPr>
                <w:rFonts w:ascii="Arial" w:hAnsi="Arial"/>
                <w:b w:val="0"/>
                <w:sz w:val="17"/>
              </w:rPr>
              <w:t>Coordinates response, severity, decisions, timeline, escalation and closure.</w:t>
            </w:r>
          </w:p>
        </w:tc>
      </w:tr>
      <w:tr>
        <w:tc>
          <w:tcPr>
            <w:tcW w:type="dxa" w:w="2592"/>
            <w:vAlign w:val="center"/>
          </w:tcPr>
          <w:p>
            <w:pPr>
              <w:jc w:val="left"/>
            </w:pPr>
            <w:r/>
            <w:r>
              <w:rPr>
                <w:rFonts w:ascii="Arial" w:hAnsi="Arial"/>
                <w:b w:val="0"/>
                <w:sz w:val="17"/>
              </w:rPr>
              <w:t>SOC / Security Analyst</w:t>
            </w:r>
          </w:p>
        </w:tc>
        <w:tc>
          <w:tcPr>
            <w:tcW w:type="dxa" w:w="7200"/>
            <w:vAlign w:val="center"/>
          </w:tcPr>
          <w:p>
            <w:pPr>
              <w:jc w:val="left"/>
            </w:pPr>
            <w:r/>
            <w:r>
              <w:rPr>
                <w:rFonts w:ascii="Arial" w:hAnsi="Arial"/>
                <w:b w:val="0"/>
                <w:sz w:val="17"/>
              </w:rPr>
              <w:t>Validates alerts, investigates telemetry, correlates events and supports CTI analysis.</w:t>
            </w:r>
          </w:p>
        </w:tc>
      </w:tr>
      <w:tr>
        <w:tc>
          <w:tcPr>
            <w:tcW w:type="dxa" w:w="2592"/>
            <w:vAlign w:val="center"/>
          </w:tcPr>
          <w:p>
            <w:pPr>
              <w:jc w:val="left"/>
            </w:pPr>
            <w:r/>
            <w:r>
              <w:rPr>
                <w:rFonts w:ascii="Arial" w:hAnsi="Arial"/>
                <w:b w:val="0"/>
                <w:sz w:val="17"/>
              </w:rPr>
              <w:t>System / Application Owner</w:t>
            </w:r>
          </w:p>
        </w:tc>
        <w:tc>
          <w:tcPr>
            <w:tcW w:type="dxa" w:w="7200"/>
            <w:vAlign w:val="center"/>
          </w:tcPr>
          <w:p>
            <w:pPr>
              <w:jc w:val="left"/>
            </w:pPr>
            <w:r/>
            <w:r>
              <w:rPr>
                <w:rFonts w:ascii="Arial" w:hAnsi="Arial"/>
                <w:b w:val="0"/>
                <w:sz w:val="17"/>
              </w:rPr>
              <w:t>Explains service architecture, business impact and validates restoration.</w:t>
            </w:r>
          </w:p>
        </w:tc>
      </w:tr>
      <w:tr>
        <w:tc>
          <w:tcPr>
            <w:tcW w:type="dxa" w:w="2592"/>
            <w:vAlign w:val="center"/>
          </w:tcPr>
          <w:p>
            <w:pPr>
              <w:jc w:val="left"/>
            </w:pPr>
            <w:r/>
            <w:r>
              <w:rPr>
                <w:rFonts w:ascii="Arial" w:hAnsi="Arial"/>
                <w:b w:val="0"/>
                <w:sz w:val="17"/>
              </w:rPr>
              <w:t>Network / Cloud / IT Administrator</w:t>
            </w:r>
          </w:p>
        </w:tc>
        <w:tc>
          <w:tcPr>
            <w:tcW w:type="dxa" w:w="7200"/>
            <w:vAlign w:val="center"/>
          </w:tcPr>
          <w:p>
            <w:pPr>
              <w:jc w:val="left"/>
            </w:pPr>
            <w:r/>
            <w:r>
              <w:rPr>
                <w:rFonts w:ascii="Arial" w:hAnsi="Arial"/>
                <w:b w:val="0"/>
                <w:sz w:val="17"/>
              </w:rPr>
              <w:t>Implements approved isolation, access and infrastructure changes.</w:t>
            </w:r>
          </w:p>
        </w:tc>
      </w:tr>
      <w:tr>
        <w:tc>
          <w:tcPr>
            <w:tcW w:type="dxa" w:w="2592"/>
            <w:vAlign w:val="center"/>
          </w:tcPr>
          <w:p>
            <w:pPr>
              <w:jc w:val="left"/>
            </w:pPr>
            <w:r/>
            <w:r>
              <w:rPr>
                <w:rFonts w:ascii="Arial" w:hAnsi="Arial"/>
                <w:b w:val="0"/>
                <w:sz w:val="17"/>
              </w:rPr>
              <w:t>Vulnerability Management Team</w:t>
            </w:r>
          </w:p>
        </w:tc>
        <w:tc>
          <w:tcPr>
            <w:tcW w:type="dxa" w:w="7200"/>
            <w:vAlign w:val="center"/>
          </w:tcPr>
          <w:p>
            <w:pPr>
              <w:jc w:val="left"/>
            </w:pPr>
            <w:r/>
            <w:r>
              <w:rPr>
                <w:rFonts w:ascii="Arial" w:hAnsi="Arial"/>
                <w:b w:val="0"/>
                <w:sz w:val="17"/>
              </w:rPr>
              <w:t>Assesses exploited weaknesses, remediation status and verification evidence.</w:t>
            </w:r>
          </w:p>
        </w:tc>
      </w:tr>
      <w:tr>
        <w:tc>
          <w:tcPr>
            <w:tcW w:type="dxa" w:w="2592"/>
            <w:vAlign w:val="center"/>
          </w:tcPr>
          <w:p>
            <w:pPr>
              <w:jc w:val="left"/>
            </w:pPr>
            <w:r/>
            <w:r>
              <w:rPr>
                <w:rFonts w:ascii="Arial" w:hAnsi="Arial"/>
                <w:b w:val="0"/>
                <w:sz w:val="17"/>
              </w:rPr>
              <w:t>Management</w:t>
            </w:r>
          </w:p>
        </w:tc>
        <w:tc>
          <w:tcPr>
            <w:tcW w:type="dxa" w:w="7200"/>
            <w:vAlign w:val="center"/>
          </w:tcPr>
          <w:p>
            <w:pPr>
              <w:jc w:val="left"/>
            </w:pPr>
            <w:r/>
            <w:r>
              <w:rPr>
                <w:rFonts w:ascii="Arial" w:hAnsi="Arial"/>
                <w:b w:val="0"/>
                <w:sz w:val="17"/>
              </w:rPr>
              <w:t>Approves major business decisions, resources and service-impacting actions.</w:t>
            </w:r>
          </w:p>
        </w:tc>
      </w:tr>
      <w:tr>
        <w:tc>
          <w:tcPr>
            <w:tcW w:type="dxa" w:w="2592"/>
            <w:vAlign w:val="center"/>
          </w:tcPr>
          <w:p>
            <w:pPr>
              <w:jc w:val="left"/>
            </w:pPr>
            <w:r/>
            <w:r>
              <w:rPr>
                <w:rFonts w:ascii="Arial" w:hAnsi="Arial"/>
                <w:b w:val="0"/>
                <w:sz w:val="17"/>
              </w:rPr>
              <w:t>Legal / Privacy / Compliance</w:t>
            </w:r>
          </w:p>
        </w:tc>
        <w:tc>
          <w:tcPr>
            <w:tcW w:type="dxa" w:w="7200"/>
            <w:vAlign w:val="center"/>
          </w:tcPr>
          <w:p>
            <w:pPr>
              <w:jc w:val="left"/>
            </w:pPr>
            <w:r/>
            <w:r>
              <w:rPr>
                <w:rFonts w:ascii="Arial" w:hAnsi="Arial"/>
                <w:b w:val="0"/>
                <w:sz w:val="17"/>
              </w:rPr>
              <w:t>Advises on applicable obligations, evidence, notifications and documentation.</w:t>
            </w:r>
          </w:p>
        </w:tc>
      </w:tr>
      <w:tr>
        <w:tc>
          <w:tcPr>
            <w:tcW w:type="dxa" w:w="2592"/>
            <w:vAlign w:val="center"/>
          </w:tcPr>
          <w:p>
            <w:pPr>
              <w:jc w:val="left"/>
            </w:pPr>
            <w:r/>
            <w:r>
              <w:rPr>
                <w:rFonts w:ascii="Arial" w:hAnsi="Arial"/>
                <w:b w:val="0"/>
                <w:sz w:val="17"/>
              </w:rPr>
              <w:t>Communications Team</w:t>
            </w:r>
          </w:p>
        </w:tc>
        <w:tc>
          <w:tcPr>
            <w:tcW w:type="dxa" w:w="7200"/>
            <w:vAlign w:val="center"/>
          </w:tcPr>
          <w:p>
            <w:pPr>
              <w:jc w:val="left"/>
            </w:pPr>
            <w:r/>
            <w:r>
              <w:rPr>
                <w:rFonts w:ascii="Arial" w:hAnsi="Arial"/>
                <w:b w:val="0"/>
                <w:sz w:val="17"/>
              </w:rPr>
              <w:t>Coordinates approved internal/external communications and avoids unverified disclosures.</w:t>
            </w:r>
          </w:p>
        </w:tc>
      </w:tr>
      <w:tr>
        <w:tc>
          <w:tcPr>
            <w:tcW w:type="dxa" w:w="2592"/>
            <w:vAlign w:val="center"/>
          </w:tcPr>
          <w:p>
            <w:pPr>
              <w:jc w:val="left"/>
            </w:pPr>
            <w:r/>
            <w:r>
              <w:rPr>
                <w:rFonts w:ascii="Arial" w:hAnsi="Arial"/>
                <w:b w:val="0"/>
                <w:sz w:val="17"/>
              </w:rPr>
              <w:t>Vendor / Third Party</w:t>
            </w:r>
          </w:p>
        </w:tc>
        <w:tc>
          <w:tcPr>
            <w:tcW w:type="dxa" w:w="7200"/>
            <w:vAlign w:val="center"/>
          </w:tcPr>
          <w:p>
            <w:pPr>
              <w:jc w:val="left"/>
            </w:pPr>
            <w:r/>
            <w:r>
              <w:rPr>
                <w:rFonts w:ascii="Arial" w:hAnsi="Arial"/>
                <w:b w:val="0"/>
                <w:sz w:val="17"/>
              </w:rPr>
              <w:t>Supports investigation and remediation where contracted services or dependencies are involved.</w:t>
            </w:r>
          </w:p>
        </w:tc>
      </w:tr>
    </w:tbl>
    <w:p/>
    <w:p>
      <w:pPr>
        <w:pStyle w:val="Heading1"/>
      </w:pPr>
      <w:r>
        <w:t>12. Cyber Threat Intelligence (CTI) Analysis</w:t>
      </w:r>
    </w:p>
    <w:p>
      <w:r>
        <w:t>CTI is useful when it helps defenders make better decisions. For this report, CTI is treated as a process of collecting, validating, contextualizing, prioritizing and operationalizing information about threats. The key principle is to connect external intelligence to internal assets, vulnerabilities, logs and service priorities.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vAlign w:val="center"/>
            <w:shd w:fill="D9EAF7"/>
          </w:tcPr>
          <w:p>
            <w:pPr>
              <w:jc w:val="left"/>
            </w:pPr>
            <w:r/>
            <w:r>
              <w:rPr>
                <w:rFonts w:ascii="Arial" w:hAnsi="Arial"/>
                <w:b/>
                <w:sz w:val="17"/>
              </w:rPr>
              <w:t>Threat / Attack Vector</w:t>
            </w:r>
          </w:p>
        </w:tc>
        <w:tc>
          <w:tcPr>
            <w:tcW w:type="dxa" w:w="2880"/>
            <w:vAlign w:val="center"/>
            <w:shd w:fill="D9EAF7"/>
          </w:tcPr>
          <w:p>
            <w:pPr>
              <w:jc w:val="left"/>
            </w:pPr>
            <w:r/>
            <w:r>
              <w:rPr>
                <w:rFonts w:ascii="Arial" w:hAnsi="Arial"/>
                <w:b/>
                <w:sz w:val="17"/>
              </w:rPr>
              <w:t>Potential E-Governance Relevance</w:t>
            </w:r>
          </w:p>
        </w:tc>
        <w:tc>
          <w:tcPr>
            <w:tcW w:type="dxa" w:w="3888"/>
            <w:vAlign w:val="center"/>
            <w:shd w:fill="D9EAF7"/>
          </w:tcPr>
          <w:p>
            <w:pPr>
              <w:jc w:val="left"/>
            </w:pPr>
            <w:r/>
            <w:r>
              <w:rPr>
                <w:rFonts w:ascii="Arial" w:hAnsi="Arial"/>
                <w:b/>
                <w:sz w:val="17"/>
              </w:rPr>
              <w:t>Detection / Defensive Action</w:t>
            </w:r>
          </w:p>
        </w:tc>
        <w:tc>
          <w:tcPr>
            <w:tcW w:type="dxa" w:w="1296"/>
            <w:vAlign w:val="center"/>
            <w:shd w:fill="D9EAF7"/>
          </w:tcPr>
          <w:p>
            <w:pPr>
              <w:jc w:val="left"/>
            </w:pPr>
            <w:r/>
            <w:r>
              <w:rPr>
                <w:rFonts w:ascii="Arial" w:hAnsi="Arial"/>
                <w:b/>
                <w:sz w:val="17"/>
              </w:rPr>
              <w:t>Priority</w:t>
            </w:r>
          </w:p>
        </w:tc>
      </w:tr>
      <w:tr>
        <w:tc>
          <w:tcPr>
            <w:tcW w:type="dxa" w:w="2160"/>
            <w:vAlign w:val="center"/>
          </w:tcPr>
          <w:p>
            <w:pPr>
              <w:jc w:val="left"/>
            </w:pPr>
            <w:r/>
            <w:r>
              <w:rPr>
                <w:rFonts w:ascii="Arial" w:hAnsi="Arial"/>
                <w:b w:val="0"/>
                <w:sz w:val="17"/>
              </w:rPr>
              <w:t>Credential compromise / account takeover</w:t>
            </w:r>
          </w:p>
        </w:tc>
        <w:tc>
          <w:tcPr>
            <w:tcW w:type="dxa" w:w="2880"/>
            <w:vAlign w:val="center"/>
          </w:tcPr>
          <w:p>
            <w:pPr>
              <w:jc w:val="left"/>
            </w:pPr>
            <w:r/>
            <w:r>
              <w:rPr>
                <w:rFonts w:ascii="Arial" w:hAnsi="Arial"/>
                <w:b w:val="0"/>
                <w:sz w:val="17"/>
              </w:rPr>
              <w:t>Citizen or privileged accounts may be targeted by credential theft.</w:t>
            </w:r>
          </w:p>
        </w:tc>
        <w:tc>
          <w:tcPr>
            <w:tcW w:type="dxa" w:w="3888"/>
            <w:vAlign w:val="center"/>
          </w:tcPr>
          <w:p>
            <w:pPr>
              <w:jc w:val="left"/>
            </w:pPr>
            <w:r/>
            <w:r>
              <w:rPr>
                <w:rFonts w:ascii="Arial" w:hAnsi="Arial"/>
                <w:b w:val="0"/>
                <w:sz w:val="17"/>
              </w:rPr>
              <w:t>Monitor unusual authentication, privilege changes and sessions; apply appropriate MFA and access controls.</w:t>
            </w:r>
          </w:p>
        </w:tc>
        <w:tc>
          <w:tcPr>
            <w:tcW w:type="dxa" w:w="1296"/>
            <w:vAlign w:val="center"/>
          </w:tcPr>
          <w:p>
            <w:pPr>
              <w:jc w:val="left"/>
            </w:pPr>
            <w:r/>
            <w:r>
              <w:rPr>
                <w:rFonts w:ascii="Arial" w:hAnsi="Arial"/>
                <w:b w:val="0"/>
                <w:sz w:val="17"/>
              </w:rPr>
              <w:t>High</w:t>
            </w:r>
          </w:p>
        </w:tc>
      </w:tr>
      <w:tr>
        <w:tc>
          <w:tcPr>
            <w:tcW w:type="dxa" w:w="2160"/>
            <w:vAlign w:val="center"/>
          </w:tcPr>
          <w:p>
            <w:pPr>
              <w:jc w:val="left"/>
            </w:pPr>
            <w:r/>
            <w:r>
              <w:rPr>
                <w:rFonts w:ascii="Arial" w:hAnsi="Arial"/>
                <w:b w:val="0"/>
                <w:sz w:val="17"/>
              </w:rPr>
              <w:t>Web/API exploitation</w:t>
            </w:r>
          </w:p>
        </w:tc>
        <w:tc>
          <w:tcPr>
            <w:tcW w:type="dxa" w:w="2880"/>
            <w:vAlign w:val="center"/>
          </w:tcPr>
          <w:p>
            <w:pPr>
              <w:jc w:val="left"/>
            </w:pPr>
            <w:r/>
            <w:r>
              <w:rPr>
                <w:rFonts w:ascii="Arial" w:hAnsi="Arial"/>
                <w:b w:val="0"/>
                <w:sz w:val="17"/>
              </w:rPr>
              <w:t>Public portals and APIs are exposed service interfaces.</w:t>
            </w:r>
          </w:p>
        </w:tc>
        <w:tc>
          <w:tcPr>
            <w:tcW w:type="dxa" w:w="3888"/>
            <w:vAlign w:val="center"/>
          </w:tcPr>
          <w:p>
            <w:pPr>
              <w:jc w:val="left"/>
            </w:pPr>
            <w:r/>
            <w:r>
              <w:rPr>
                <w:rFonts w:ascii="Arial" w:hAnsi="Arial"/>
                <w:b w:val="0"/>
                <w:sz w:val="17"/>
              </w:rPr>
              <w:t>Track relevant advisories, monitor abnormal requests, review authorization and prioritize exposed remediation.</w:t>
            </w:r>
          </w:p>
        </w:tc>
        <w:tc>
          <w:tcPr>
            <w:tcW w:type="dxa" w:w="1296"/>
            <w:vAlign w:val="center"/>
          </w:tcPr>
          <w:p>
            <w:pPr>
              <w:jc w:val="left"/>
            </w:pPr>
            <w:r/>
            <w:r>
              <w:rPr>
                <w:rFonts w:ascii="Arial" w:hAnsi="Arial"/>
                <w:b w:val="0"/>
                <w:sz w:val="17"/>
              </w:rPr>
              <w:t>High</w:t>
            </w:r>
          </w:p>
        </w:tc>
      </w:tr>
      <w:tr>
        <w:tc>
          <w:tcPr>
            <w:tcW w:type="dxa" w:w="2160"/>
            <w:vAlign w:val="center"/>
          </w:tcPr>
          <w:p>
            <w:pPr>
              <w:jc w:val="left"/>
            </w:pPr>
            <w:r/>
            <w:r>
              <w:rPr>
                <w:rFonts w:ascii="Arial" w:hAnsi="Arial"/>
                <w:b w:val="0"/>
                <w:sz w:val="17"/>
              </w:rPr>
              <w:t>Ransomware / destructive malware</w:t>
            </w:r>
          </w:p>
        </w:tc>
        <w:tc>
          <w:tcPr>
            <w:tcW w:type="dxa" w:w="2880"/>
            <w:vAlign w:val="center"/>
          </w:tcPr>
          <w:p>
            <w:pPr>
              <w:jc w:val="left"/>
            </w:pPr>
            <w:r/>
            <w:r>
              <w:rPr>
                <w:rFonts w:ascii="Arial" w:hAnsi="Arial"/>
                <w:b w:val="0"/>
                <w:sz w:val="17"/>
              </w:rPr>
              <w:t>Can disrupt services and affect data availability or integrity.</w:t>
            </w:r>
          </w:p>
        </w:tc>
        <w:tc>
          <w:tcPr>
            <w:tcW w:type="dxa" w:w="3888"/>
            <w:vAlign w:val="center"/>
          </w:tcPr>
          <w:p>
            <w:pPr>
              <w:jc w:val="left"/>
            </w:pPr>
            <w:r/>
            <w:r>
              <w:rPr>
                <w:rFonts w:ascii="Arial" w:hAnsi="Arial"/>
                <w:b w:val="0"/>
                <w:sz w:val="17"/>
              </w:rPr>
              <w:t>Maintain tested backups, segmentation, monitoring and rapid isolation procedures.</w:t>
            </w:r>
          </w:p>
        </w:tc>
        <w:tc>
          <w:tcPr>
            <w:tcW w:type="dxa" w:w="1296"/>
            <w:vAlign w:val="center"/>
          </w:tcPr>
          <w:p>
            <w:pPr>
              <w:jc w:val="left"/>
            </w:pPr>
            <w:r/>
            <w:r>
              <w:rPr>
                <w:rFonts w:ascii="Arial" w:hAnsi="Arial"/>
                <w:b w:val="0"/>
                <w:sz w:val="17"/>
              </w:rPr>
              <w:t>High</w:t>
            </w:r>
          </w:p>
        </w:tc>
      </w:tr>
      <w:tr>
        <w:tc>
          <w:tcPr>
            <w:tcW w:type="dxa" w:w="2160"/>
            <w:vAlign w:val="center"/>
          </w:tcPr>
          <w:p>
            <w:pPr>
              <w:jc w:val="left"/>
            </w:pPr>
            <w:r/>
            <w:r>
              <w:rPr>
                <w:rFonts w:ascii="Arial" w:hAnsi="Arial"/>
                <w:b w:val="0"/>
                <w:sz w:val="17"/>
              </w:rPr>
              <w:t>Denial-of-service</w:t>
            </w:r>
          </w:p>
        </w:tc>
        <w:tc>
          <w:tcPr>
            <w:tcW w:type="dxa" w:w="2880"/>
            <w:vAlign w:val="center"/>
          </w:tcPr>
          <w:p>
            <w:pPr>
              <w:jc w:val="left"/>
            </w:pPr>
            <w:r/>
            <w:r>
              <w:rPr>
                <w:rFonts w:ascii="Arial" w:hAnsi="Arial"/>
                <w:b w:val="0"/>
                <w:sz w:val="17"/>
              </w:rPr>
              <w:t>Can reduce availability of citizen-facing services.</w:t>
            </w:r>
          </w:p>
        </w:tc>
        <w:tc>
          <w:tcPr>
            <w:tcW w:type="dxa" w:w="3888"/>
            <w:vAlign w:val="center"/>
          </w:tcPr>
          <w:p>
            <w:pPr>
              <w:jc w:val="left"/>
            </w:pPr>
            <w:r/>
            <w:r>
              <w:rPr>
                <w:rFonts w:ascii="Arial" w:hAnsi="Arial"/>
                <w:b w:val="0"/>
                <w:sz w:val="17"/>
              </w:rPr>
              <w:t>Monitor traffic anomalies and maintain continuity and capacity procedures.</w:t>
            </w:r>
          </w:p>
        </w:tc>
        <w:tc>
          <w:tcPr>
            <w:tcW w:type="dxa" w:w="1296"/>
            <w:vAlign w:val="center"/>
          </w:tcPr>
          <w:p>
            <w:pPr>
              <w:jc w:val="left"/>
            </w:pPr>
            <w:r/>
            <w:r>
              <w:rPr>
                <w:rFonts w:ascii="Arial" w:hAnsi="Arial"/>
                <w:b w:val="0"/>
                <w:sz w:val="17"/>
              </w:rPr>
              <w:t>Medium–High</w:t>
            </w:r>
          </w:p>
        </w:tc>
      </w:tr>
      <w:tr>
        <w:tc>
          <w:tcPr>
            <w:tcW w:type="dxa" w:w="2160"/>
            <w:vAlign w:val="center"/>
          </w:tcPr>
          <w:p>
            <w:pPr>
              <w:jc w:val="left"/>
            </w:pPr>
            <w:r/>
            <w:r>
              <w:rPr>
                <w:rFonts w:ascii="Arial" w:hAnsi="Arial"/>
                <w:b w:val="0"/>
                <w:sz w:val="17"/>
              </w:rPr>
              <w:t>Supply-chain compromise</w:t>
            </w:r>
          </w:p>
        </w:tc>
        <w:tc>
          <w:tcPr>
            <w:tcW w:type="dxa" w:w="2880"/>
            <w:vAlign w:val="center"/>
          </w:tcPr>
          <w:p>
            <w:pPr>
              <w:jc w:val="left"/>
            </w:pPr>
            <w:r/>
            <w:r>
              <w:rPr>
                <w:rFonts w:ascii="Arial" w:hAnsi="Arial"/>
                <w:b w:val="0"/>
                <w:sz w:val="17"/>
              </w:rPr>
              <w:t>Vendor software, services or dependencies may introduce risk.</w:t>
            </w:r>
          </w:p>
        </w:tc>
        <w:tc>
          <w:tcPr>
            <w:tcW w:type="dxa" w:w="3888"/>
            <w:vAlign w:val="center"/>
          </w:tcPr>
          <w:p>
            <w:pPr>
              <w:jc w:val="left"/>
            </w:pPr>
            <w:r/>
            <w:r>
              <w:rPr>
                <w:rFonts w:ascii="Arial" w:hAnsi="Arial"/>
                <w:b w:val="0"/>
                <w:sz w:val="17"/>
              </w:rPr>
              <w:t>Maintain vendor/dependency inventory, security requirements and monitoring.</w:t>
            </w:r>
          </w:p>
        </w:tc>
        <w:tc>
          <w:tcPr>
            <w:tcW w:type="dxa" w:w="1296"/>
            <w:vAlign w:val="center"/>
          </w:tcPr>
          <w:p>
            <w:pPr>
              <w:jc w:val="left"/>
            </w:pPr>
            <w:r/>
            <w:r>
              <w:rPr>
                <w:rFonts w:ascii="Arial" w:hAnsi="Arial"/>
                <w:b w:val="0"/>
                <w:sz w:val="17"/>
              </w:rPr>
              <w:t>Medium–High</w:t>
            </w:r>
          </w:p>
        </w:tc>
      </w:tr>
      <w:tr>
        <w:tc>
          <w:tcPr>
            <w:tcW w:type="dxa" w:w="2160"/>
            <w:vAlign w:val="center"/>
          </w:tcPr>
          <w:p>
            <w:pPr>
              <w:jc w:val="left"/>
            </w:pPr>
            <w:r/>
            <w:r>
              <w:rPr>
                <w:rFonts w:ascii="Arial" w:hAnsi="Arial"/>
                <w:b w:val="0"/>
                <w:sz w:val="17"/>
              </w:rPr>
              <w:t>Unpatched vulnerability exploitation</w:t>
            </w:r>
          </w:p>
        </w:tc>
        <w:tc>
          <w:tcPr>
            <w:tcW w:type="dxa" w:w="2880"/>
            <w:vAlign w:val="center"/>
          </w:tcPr>
          <w:p>
            <w:pPr>
              <w:jc w:val="left"/>
            </w:pPr>
            <w:r/>
            <w:r>
              <w:rPr>
                <w:rFonts w:ascii="Arial" w:hAnsi="Arial"/>
                <w:b w:val="0"/>
                <w:sz w:val="17"/>
              </w:rPr>
              <w:t>Known weaknesses in exposed systems may be targeted.</w:t>
            </w:r>
          </w:p>
        </w:tc>
        <w:tc>
          <w:tcPr>
            <w:tcW w:type="dxa" w:w="3888"/>
            <w:vAlign w:val="center"/>
          </w:tcPr>
          <w:p>
            <w:pPr>
              <w:jc w:val="left"/>
            </w:pPr>
            <w:r/>
            <w:r>
              <w:rPr>
                <w:rFonts w:ascii="Arial" w:hAnsi="Arial"/>
                <w:b w:val="0"/>
                <w:sz w:val="17"/>
              </w:rPr>
              <w:t>Prioritize exposed critical vulnerabilities and verify remediation.</w:t>
            </w:r>
          </w:p>
        </w:tc>
        <w:tc>
          <w:tcPr>
            <w:tcW w:type="dxa" w:w="1296"/>
            <w:vAlign w:val="center"/>
          </w:tcPr>
          <w:p>
            <w:pPr>
              <w:jc w:val="left"/>
            </w:pPr>
            <w:r/>
            <w:r>
              <w:rPr>
                <w:rFonts w:ascii="Arial" w:hAnsi="Arial"/>
                <w:b w:val="0"/>
                <w:sz w:val="17"/>
              </w:rPr>
              <w:t>High</w:t>
            </w:r>
          </w:p>
        </w:tc>
      </w:tr>
      <w:tr>
        <w:tc>
          <w:tcPr>
            <w:tcW w:type="dxa" w:w="2160"/>
            <w:vAlign w:val="center"/>
          </w:tcPr>
          <w:p>
            <w:pPr>
              <w:jc w:val="left"/>
            </w:pPr>
            <w:r/>
            <w:r>
              <w:rPr>
                <w:rFonts w:ascii="Arial" w:hAnsi="Arial"/>
                <w:b w:val="0"/>
                <w:sz w:val="17"/>
              </w:rPr>
              <w:t>Unauthorized data access / exposure</w:t>
            </w:r>
          </w:p>
        </w:tc>
        <w:tc>
          <w:tcPr>
            <w:tcW w:type="dxa" w:w="2880"/>
            <w:vAlign w:val="center"/>
          </w:tcPr>
          <w:p>
            <w:pPr>
              <w:jc w:val="left"/>
            </w:pPr>
            <w:r/>
            <w:r>
              <w:rPr>
                <w:rFonts w:ascii="Arial" w:hAnsi="Arial"/>
                <w:b w:val="0"/>
                <w:sz w:val="17"/>
              </w:rPr>
              <w:t>Misconfiguration or compromised access can expose sensitive service data.</w:t>
            </w:r>
          </w:p>
        </w:tc>
        <w:tc>
          <w:tcPr>
            <w:tcW w:type="dxa" w:w="3888"/>
            <w:vAlign w:val="center"/>
          </w:tcPr>
          <w:p>
            <w:pPr>
              <w:jc w:val="left"/>
            </w:pPr>
            <w:r/>
            <w:r>
              <w:rPr>
                <w:rFonts w:ascii="Arial" w:hAnsi="Arial"/>
                <w:b w:val="0"/>
                <w:sz w:val="17"/>
              </w:rPr>
              <w:t>Monitor privileged activity, permissions and unusual data access or transfers.</w:t>
            </w:r>
          </w:p>
        </w:tc>
        <w:tc>
          <w:tcPr>
            <w:tcW w:type="dxa" w:w="1296"/>
            <w:vAlign w:val="center"/>
          </w:tcPr>
          <w:p>
            <w:pPr>
              <w:jc w:val="left"/>
            </w:pPr>
            <w:r/>
            <w:r>
              <w:rPr>
                <w:rFonts w:ascii="Arial" w:hAnsi="Arial"/>
                <w:b w:val="0"/>
                <w:sz w:val="17"/>
              </w:rPr>
              <w:t>High</w:t>
            </w:r>
          </w:p>
        </w:tc>
      </w:tr>
    </w:tbl>
    <w:p/>
    <w:p>
      <w:pPr>
        <w:pStyle w:val="Heading1"/>
      </w:pPr>
      <w:r>
        <w:t>13. CTI Collection, Validation and Operationalization</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D9EAF7"/>
          </w:tcPr>
          <w:p>
            <w:pPr>
              <w:jc w:val="left"/>
            </w:pPr>
            <w:r/>
            <w:r>
              <w:rPr>
                <w:rFonts w:ascii="Arial" w:hAnsi="Arial"/>
                <w:b/>
                <w:sz w:val="17"/>
              </w:rPr>
              <w:t>Stage</w:t>
            </w:r>
          </w:p>
        </w:tc>
        <w:tc>
          <w:tcPr>
            <w:tcW w:type="dxa" w:w="5472"/>
            <w:vAlign w:val="center"/>
            <w:shd w:fill="D9EAF7"/>
          </w:tcPr>
          <w:p>
            <w:pPr>
              <w:jc w:val="left"/>
            </w:pPr>
            <w:r/>
            <w:r>
              <w:rPr>
                <w:rFonts w:ascii="Arial" w:hAnsi="Arial"/>
                <w:b/>
                <w:sz w:val="17"/>
              </w:rPr>
              <w:t>Activity</w:t>
            </w:r>
          </w:p>
        </w:tc>
        <w:tc>
          <w:tcPr>
            <w:tcW w:type="dxa" w:w="3312"/>
            <w:vAlign w:val="center"/>
            <w:shd w:fill="D9EAF7"/>
          </w:tcPr>
          <w:p>
            <w:pPr>
              <w:jc w:val="left"/>
            </w:pPr>
            <w:r/>
            <w:r>
              <w:rPr>
                <w:rFonts w:ascii="Arial" w:hAnsi="Arial"/>
                <w:b/>
                <w:sz w:val="17"/>
              </w:rPr>
              <w:t>Output</w:t>
            </w:r>
          </w:p>
        </w:tc>
      </w:tr>
      <w:tr>
        <w:tc>
          <w:tcPr>
            <w:tcW w:type="dxa" w:w="1440"/>
            <w:vAlign w:val="center"/>
          </w:tcPr>
          <w:p>
            <w:pPr>
              <w:jc w:val="left"/>
            </w:pPr>
            <w:r/>
            <w:r>
              <w:rPr>
                <w:rFonts w:ascii="Arial" w:hAnsi="Arial"/>
                <w:b w:val="0"/>
                <w:sz w:val="17"/>
              </w:rPr>
              <w:t>Collect</w:t>
            </w:r>
          </w:p>
        </w:tc>
        <w:tc>
          <w:tcPr>
            <w:tcW w:type="dxa" w:w="5472"/>
            <w:vAlign w:val="center"/>
          </w:tcPr>
          <w:p>
            <w:pPr>
              <w:jc w:val="left"/>
            </w:pPr>
            <w:r/>
            <w:r>
              <w:rPr>
                <w:rFonts w:ascii="Arial" w:hAnsi="Arial"/>
                <w:b w:val="0"/>
                <w:sz w:val="17"/>
              </w:rPr>
              <w:t>Gather relevant public advisories, vulnerability information, CERT-In information, vendor notices and trusted threat reports.</w:t>
            </w:r>
          </w:p>
        </w:tc>
        <w:tc>
          <w:tcPr>
            <w:tcW w:type="dxa" w:w="3312"/>
            <w:vAlign w:val="center"/>
          </w:tcPr>
          <w:p>
            <w:pPr>
              <w:jc w:val="left"/>
            </w:pPr>
            <w:r/>
            <w:r>
              <w:rPr>
                <w:rFonts w:ascii="Arial" w:hAnsi="Arial"/>
                <w:b w:val="0"/>
                <w:sz w:val="17"/>
              </w:rPr>
              <w:t>Raw intelligence</w:t>
            </w:r>
          </w:p>
        </w:tc>
      </w:tr>
      <w:tr>
        <w:tc>
          <w:tcPr>
            <w:tcW w:type="dxa" w:w="1440"/>
            <w:vAlign w:val="center"/>
          </w:tcPr>
          <w:p>
            <w:pPr>
              <w:jc w:val="left"/>
            </w:pPr>
            <w:r/>
            <w:r>
              <w:rPr>
                <w:rFonts w:ascii="Arial" w:hAnsi="Arial"/>
                <w:b w:val="0"/>
                <w:sz w:val="17"/>
              </w:rPr>
              <w:t>Validate</w:t>
            </w:r>
          </w:p>
        </w:tc>
        <w:tc>
          <w:tcPr>
            <w:tcW w:type="dxa" w:w="5472"/>
            <w:vAlign w:val="center"/>
          </w:tcPr>
          <w:p>
            <w:pPr>
              <w:jc w:val="left"/>
            </w:pPr>
            <w:r/>
            <w:r>
              <w:rPr>
                <w:rFonts w:ascii="Arial" w:hAnsi="Arial"/>
                <w:b w:val="0"/>
                <w:sz w:val="17"/>
              </w:rPr>
              <w:t>Check source reliability, date, affected technologies and relevance to the environment.</w:t>
            </w:r>
          </w:p>
        </w:tc>
        <w:tc>
          <w:tcPr>
            <w:tcW w:type="dxa" w:w="3312"/>
            <w:vAlign w:val="center"/>
          </w:tcPr>
          <w:p>
            <w:pPr>
              <w:jc w:val="left"/>
            </w:pPr>
            <w:r/>
            <w:r>
              <w:rPr>
                <w:rFonts w:ascii="Arial" w:hAnsi="Arial"/>
                <w:b w:val="0"/>
                <w:sz w:val="17"/>
              </w:rPr>
              <w:t>Validated intelligence</w:t>
            </w:r>
          </w:p>
        </w:tc>
      </w:tr>
      <w:tr>
        <w:tc>
          <w:tcPr>
            <w:tcW w:type="dxa" w:w="1440"/>
            <w:vAlign w:val="center"/>
          </w:tcPr>
          <w:p>
            <w:pPr>
              <w:jc w:val="left"/>
            </w:pPr>
            <w:r/>
            <w:r>
              <w:rPr>
                <w:rFonts w:ascii="Arial" w:hAnsi="Arial"/>
                <w:b w:val="0"/>
                <w:sz w:val="17"/>
              </w:rPr>
              <w:t>Enrich</w:t>
            </w:r>
          </w:p>
        </w:tc>
        <w:tc>
          <w:tcPr>
            <w:tcW w:type="dxa" w:w="5472"/>
            <w:vAlign w:val="center"/>
          </w:tcPr>
          <w:p>
            <w:pPr>
              <w:jc w:val="left"/>
            </w:pPr>
            <w:r/>
            <w:r>
              <w:rPr>
                <w:rFonts w:ascii="Arial" w:hAnsi="Arial"/>
                <w:b w:val="0"/>
                <w:sz w:val="17"/>
              </w:rPr>
              <w:t>Map intelligence to assets, software, vulnerabilities, attack techniques and existing detections.</w:t>
            </w:r>
          </w:p>
        </w:tc>
        <w:tc>
          <w:tcPr>
            <w:tcW w:type="dxa" w:w="3312"/>
            <w:vAlign w:val="center"/>
          </w:tcPr>
          <w:p>
            <w:pPr>
              <w:jc w:val="left"/>
            </w:pPr>
            <w:r/>
            <w:r>
              <w:rPr>
                <w:rFonts w:ascii="Arial" w:hAnsi="Arial"/>
                <w:b w:val="0"/>
                <w:sz w:val="17"/>
              </w:rPr>
              <w:t>Contextualized intelligence</w:t>
            </w:r>
          </w:p>
        </w:tc>
      </w:tr>
      <w:tr>
        <w:tc>
          <w:tcPr>
            <w:tcW w:type="dxa" w:w="1440"/>
            <w:vAlign w:val="center"/>
          </w:tcPr>
          <w:p>
            <w:pPr>
              <w:jc w:val="left"/>
            </w:pPr>
            <w:r/>
            <w:r>
              <w:rPr>
                <w:rFonts w:ascii="Arial" w:hAnsi="Arial"/>
                <w:b w:val="0"/>
                <w:sz w:val="17"/>
              </w:rPr>
              <w:t>Prioritize</w:t>
            </w:r>
          </w:p>
        </w:tc>
        <w:tc>
          <w:tcPr>
            <w:tcW w:type="dxa" w:w="5472"/>
            <w:vAlign w:val="center"/>
          </w:tcPr>
          <w:p>
            <w:pPr>
              <w:jc w:val="left"/>
            </w:pPr>
            <w:r/>
            <w:r>
              <w:rPr>
                <w:rFonts w:ascii="Arial" w:hAnsi="Arial"/>
                <w:b w:val="0"/>
                <w:sz w:val="17"/>
              </w:rPr>
              <w:t>Consider criticality, exposure, exploitability, evidence of active exploitation and potential impact.</w:t>
            </w:r>
          </w:p>
        </w:tc>
        <w:tc>
          <w:tcPr>
            <w:tcW w:type="dxa" w:w="3312"/>
            <w:vAlign w:val="center"/>
          </w:tcPr>
          <w:p>
            <w:pPr>
              <w:jc w:val="left"/>
            </w:pPr>
            <w:r/>
            <w:r>
              <w:rPr>
                <w:rFonts w:ascii="Arial" w:hAnsi="Arial"/>
                <w:b w:val="0"/>
                <w:sz w:val="17"/>
              </w:rPr>
              <w:t>Priority list</w:t>
            </w:r>
          </w:p>
        </w:tc>
      </w:tr>
      <w:tr>
        <w:tc>
          <w:tcPr>
            <w:tcW w:type="dxa" w:w="1440"/>
            <w:vAlign w:val="center"/>
          </w:tcPr>
          <w:p>
            <w:pPr>
              <w:jc w:val="left"/>
            </w:pPr>
            <w:r/>
            <w:r>
              <w:rPr>
                <w:rFonts w:ascii="Arial" w:hAnsi="Arial"/>
                <w:b w:val="0"/>
                <w:sz w:val="17"/>
              </w:rPr>
              <w:t>Operationalize</w:t>
            </w:r>
          </w:p>
        </w:tc>
        <w:tc>
          <w:tcPr>
            <w:tcW w:type="dxa" w:w="5472"/>
            <w:vAlign w:val="center"/>
          </w:tcPr>
          <w:p>
            <w:pPr>
              <w:jc w:val="left"/>
            </w:pPr>
            <w:r/>
            <w:r>
              <w:rPr>
                <w:rFonts w:ascii="Arial" w:hAnsi="Arial"/>
                <w:b w:val="0"/>
                <w:sz w:val="17"/>
              </w:rPr>
              <w:t>Convert intelligence into monitoring rules, vulnerability tickets, playbook updates or risk decisions.</w:t>
            </w:r>
          </w:p>
        </w:tc>
        <w:tc>
          <w:tcPr>
            <w:tcW w:type="dxa" w:w="3312"/>
            <w:vAlign w:val="center"/>
          </w:tcPr>
          <w:p>
            <w:pPr>
              <w:jc w:val="left"/>
            </w:pPr>
            <w:r/>
            <w:r>
              <w:rPr>
                <w:rFonts w:ascii="Arial" w:hAnsi="Arial"/>
                <w:b w:val="0"/>
                <w:sz w:val="17"/>
              </w:rPr>
              <w:t>Defensive action</w:t>
            </w:r>
          </w:p>
        </w:tc>
      </w:tr>
      <w:tr>
        <w:tc>
          <w:tcPr>
            <w:tcW w:type="dxa" w:w="1440"/>
            <w:vAlign w:val="center"/>
          </w:tcPr>
          <w:p>
            <w:pPr>
              <w:jc w:val="left"/>
            </w:pPr>
            <w:r/>
            <w:r>
              <w:rPr>
                <w:rFonts w:ascii="Arial" w:hAnsi="Arial"/>
                <w:b w:val="0"/>
                <w:sz w:val="17"/>
              </w:rPr>
              <w:t>Share</w:t>
            </w:r>
          </w:p>
        </w:tc>
        <w:tc>
          <w:tcPr>
            <w:tcW w:type="dxa" w:w="5472"/>
            <w:vAlign w:val="center"/>
          </w:tcPr>
          <w:p>
            <w:pPr>
              <w:jc w:val="left"/>
            </w:pPr>
            <w:r/>
            <w:r>
              <w:rPr>
                <w:rFonts w:ascii="Arial" w:hAnsi="Arial"/>
                <w:b w:val="0"/>
                <w:sz w:val="17"/>
              </w:rPr>
              <w:t>Provide relevant intelligence to authorized security, operations and management teams.</w:t>
            </w:r>
          </w:p>
        </w:tc>
        <w:tc>
          <w:tcPr>
            <w:tcW w:type="dxa" w:w="3312"/>
            <w:vAlign w:val="center"/>
          </w:tcPr>
          <w:p>
            <w:pPr>
              <w:jc w:val="left"/>
            </w:pPr>
            <w:r/>
            <w:r>
              <w:rPr>
                <w:rFonts w:ascii="Arial" w:hAnsi="Arial"/>
                <w:b w:val="0"/>
                <w:sz w:val="17"/>
              </w:rPr>
              <w:t>Coordinated awareness</w:t>
            </w:r>
          </w:p>
        </w:tc>
      </w:tr>
      <w:tr>
        <w:tc>
          <w:tcPr>
            <w:tcW w:type="dxa" w:w="1440"/>
            <w:vAlign w:val="center"/>
          </w:tcPr>
          <w:p>
            <w:pPr>
              <w:jc w:val="left"/>
            </w:pPr>
            <w:r/>
            <w:r>
              <w:rPr>
                <w:rFonts w:ascii="Arial" w:hAnsi="Arial"/>
                <w:b w:val="0"/>
                <w:sz w:val="17"/>
              </w:rPr>
              <w:t>Review</w:t>
            </w:r>
          </w:p>
        </w:tc>
        <w:tc>
          <w:tcPr>
            <w:tcW w:type="dxa" w:w="5472"/>
            <w:vAlign w:val="center"/>
          </w:tcPr>
          <w:p>
            <w:pPr>
              <w:jc w:val="left"/>
            </w:pPr>
            <w:r/>
            <w:r>
              <w:rPr>
                <w:rFonts w:ascii="Arial" w:hAnsi="Arial"/>
                <w:b w:val="0"/>
                <w:sz w:val="17"/>
              </w:rPr>
              <w:t>Retire stale information and reassess relevance as the environment changes.</w:t>
            </w:r>
          </w:p>
        </w:tc>
        <w:tc>
          <w:tcPr>
            <w:tcW w:type="dxa" w:w="3312"/>
            <w:vAlign w:val="center"/>
          </w:tcPr>
          <w:p>
            <w:pPr>
              <w:jc w:val="left"/>
            </w:pPr>
            <w:r/>
            <w:r>
              <w:rPr>
                <w:rFonts w:ascii="Arial" w:hAnsi="Arial"/>
                <w:b w:val="0"/>
                <w:sz w:val="17"/>
              </w:rPr>
              <w:t>Updated intelligence picture</w:t>
            </w:r>
          </w:p>
        </w:tc>
      </w:tr>
    </w:tbl>
    <w:p/>
    <w:p>
      <w:pPr>
        <w:pStyle w:val="Heading2"/>
      </w:pPr>
      <w:r>
        <w:t>13.1 CTI Confidence Model</w:t>
      </w:r>
    </w:p>
    <w:tbl>
      <w:tblPr>
        <w:tblStyle w:val="TableGrid"/>
        <w:tblW w:type="auto" w:w="0"/>
        <w:jc w:val="center"/>
        <w:tblLook w:firstColumn="1" w:firstRow="1" w:lastColumn="0" w:lastRow="0" w:noHBand="0" w:noVBand="1" w:val="04A0"/>
      </w:tblPr>
      <w:tblGrid>
        <w:gridCol w:w="3312"/>
        <w:gridCol w:w="3312"/>
        <w:gridCol w:w="3312"/>
      </w:tblGrid>
      <w:tr>
        <w:tc>
          <w:tcPr>
            <w:tcW w:type="dxa" w:w="1584"/>
            <w:vAlign w:val="center"/>
            <w:shd w:fill="D9EAF7"/>
          </w:tcPr>
          <w:p>
            <w:pPr>
              <w:jc w:val="left"/>
            </w:pPr>
            <w:r/>
            <w:r>
              <w:rPr>
                <w:rFonts w:ascii="Arial" w:hAnsi="Arial"/>
                <w:b/>
                <w:sz w:val="17"/>
              </w:rPr>
              <w:t>Confidence</w:t>
            </w:r>
          </w:p>
        </w:tc>
        <w:tc>
          <w:tcPr>
            <w:tcW w:type="dxa" w:w="4608"/>
            <w:vAlign w:val="center"/>
            <w:shd w:fill="D9EAF7"/>
          </w:tcPr>
          <w:p>
            <w:pPr>
              <w:jc w:val="left"/>
            </w:pPr>
            <w:r/>
            <w:r>
              <w:rPr>
                <w:rFonts w:ascii="Arial" w:hAnsi="Arial"/>
                <w:b/>
                <w:sz w:val="17"/>
              </w:rPr>
              <w:t>Meaning</w:t>
            </w:r>
          </w:p>
        </w:tc>
        <w:tc>
          <w:tcPr>
            <w:tcW w:type="dxa" w:w="4032"/>
            <w:vAlign w:val="center"/>
            <w:shd w:fill="D9EAF7"/>
          </w:tcPr>
          <w:p>
            <w:pPr>
              <w:jc w:val="left"/>
            </w:pPr>
            <w:r/>
            <w:r>
              <w:rPr>
                <w:rFonts w:ascii="Arial" w:hAnsi="Arial"/>
                <w:b/>
                <w:sz w:val="17"/>
              </w:rPr>
              <w:t>How to Use</w:t>
            </w:r>
          </w:p>
        </w:tc>
      </w:tr>
      <w:tr>
        <w:tc>
          <w:tcPr>
            <w:tcW w:type="dxa" w:w="1584"/>
            <w:vAlign w:val="center"/>
          </w:tcPr>
          <w:p>
            <w:pPr>
              <w:jc w:val="left"/>
            </w:pPr>
            <w:r/>
            <w:r>
              <w:rPr>
                <w:rFonts w:ascii="Arial" w:hAnsi="Arial"/>
                <w:b w:val="0"/>
                <w:sz w:val="17"/>
              </w:rPr>
              <w:t>High</w:t>
            </w:r>
          </w:p>
        </w:tc>
        <w:tc>
          <w:tcPr>
            <w:tcW w:type="dxa" w:w="4608"/>
            <w:vAlign w:val="center"/>
          </w:tcPr>
          <w:p>
            <w:pPr>
              <w:jc w:val="left"/>
            </w:pPr>
            <w:r/>
            <w:r>
              <w:rPr>
                <w:rFonts w:ascii="Arial" w:hAnsi="Arial"/>
                <w:b w:val="0"/>
                <w:sz w:val="17"/>
              </w:rPr>
              <w:t>Multiple reliable sources or strong internal evidence support the finding.</w:t>
            </w:r>
          </w:p>
        </w:tc>
        <w:tc>
          <w:tcPr>
            <w:tcW w:type="dxa" w:w="4032"/>
            <w:vAlign w:val="center"/>
          </w:tcPr>
          <w:p>
            <w:pPr>
              <w:jc w:val="left"/>
            </w:pPr>
            <w:r/>
            <w:r>
              <w:rPr>
                <w:rFonts w:ascii="Arial" w:hAnsi="Arial"/>
                <w:b w:val="0"/>
                <w:sz w:val="17"/>
              </w:rPr>
              <w:t>Can directly influence urgent monitoring or remediation decisions.</w:t>
            </w:r>
          </w:p>
        </w:tc>
      </w:tr>
      <w:tr>
        <w:tc>
          <w:tcPr>
            <w:tcW w:type="dxa" w:w="1584"/>
            <w:vAlign w:val="center"/>
          </w:tcPr>
          <w:p>
            <w:pPr>
              <w:jc w:val="left"/>
            </w:pPr>
            <w:r/>
            <w:r>
              <w:rPr>
                <w:rFonts w:ascii="Arial" w:hAnsi="Arial"/>
                <w:b w:val="0"/>
                <w:sz w:val="17"/>
              </w:rPr>
              <w:t>Medium</w:t>
            </w:r>
          </w:p>
        </w:tc>
        <w:tc>
          <w:tcPr>
            <w:tcW w:type="dxa" w:w="4608"/>
            <w:vAlign w:val="center"/>
          </w:tcPr>
          <w:p>
            <w:pPr>
              <w:jc w:val="left"/>
            </w:pPr>
            <w:r/>
            <w:r>
              <w:rPr>
                <w:rFonts w:ascii="Arial" w:hAnsi="Arial"/>
                <w:b w:val="0"/>
                <w:sz w:val="17"/>
              </w:rPr>
              <w:t>Credible source exists but internal relevance or evidence is incomplete.</w:t>
            </w:r>
          </w:p>
        </w:tc>
        <w:tc>
          <w:tcPr>
            <w:tcW w:type="dxa" w:w="4032"/>
            <w:vAlign w:val="center"/>
          </w:tcPr>
          <w:p>
            <w:pPr>
              <w:jc w:val="left"/>
            </w:pPr>
            <w:r/>
            <w:r>
              <w:rPr>
                <w:rFonts w:ascii="Arial" w:hAnsi="Arial"/>
                <w:b w:val="0"/>
                <w:sz w:val="17"/>
              </w:rPr>
              <w:t>Use for prioritized investigation and validation.</w:t>
            </w:r>
          </w:p>
        </w:tc>
      </w:tr>
      <w:tr>
        <w:tc>
          <w:tcPr>
            <w:tcW w:type="dxa" w:w="1584"/>
            <w:vAlign w:val="center"/>
          </w:tcPr>
          <w:p>
            <w:pPr>
              <w:jc w:val="left"/>
            </w:pPr>
            <w:r/>
            <w:r>
              <w:rPr>
                <w:rFonts w:ascii="Arial" w:hAnsi="Arial"/>
                <w:b w:val="0"/>
                <w:sz w:val="17"/>
              </w:rPr>
              <w:t>Low</w:t>
            </w:r>
          </w:p>
        </w:tc>
        <w:tc>
          <w:tcPr>
            <w:tcW w:type="dxa" w:w="4608"/>
            <w:vAlign w:val="center"/>
          </w:tcPr>
          <w:p>
            <w:pPr>
              <w:jc w:val="left"/>
            </w:pPr>
            <w:r/>
            <w:r>
              <w:rPr>
                <w:rFonts w:ascii="Arial" w:hAnsi="Arial"/>
                <w:b w:val="0"/>
                <w:sz w:val="17"/>
              </w:rPr>
              <w:t>Unconfirmed or weakly contextualized information.</w:t>
            </w:r>
          </w:p>
        </w:tc>
        <w:tc>
          <w:tcPr>
            <w:tcW w:type="dxa" w:w="4032"/>
            <w:vAlign w:val="center"/>
          </w:tcPr>
          <w:p>
            <w:pPr>
              <w:jc w:val="left"/>
            </w:pPr>
            <w:r/>
            <w:r>
              <w:rPr>
                <w:rFonts w:ascii="Arial" w:hAnsi="Arial"/>
                <w:b w:val="0"/>
                <w:sz w:val="17"/>
              </w:rPr>
              <w:t>Use as a lead; validate before major action.</w:t>
            </w:r>
          </w:p>
        </w:tc>
      </w:tr>
    </w:tbl>
    <w:p/>
    <w:p>
      <w:pPr>
        <w:pStyle w:val="Heading1"/>
      </w:pPr>
      <w:r>
        <w:t>14. Current Threat Considerations and Detection Priorities</w:t>
      </w:r>
    </w:p>
    <w:p>
      <w:r>
        <w:t>A useful CTI program should not simply list threats; it should translate threat information into defensive priorities. Current public guidance continues to emphasize incident response, vulnerability management, data integrity, and resilience. For example, NIST published an updated ransomware risk-management community profile in June 2026. This report therefore treats ransomware resilience, exposed vulnerability management, identity security, application/API monitoring, and recovery testing as important planning areas.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vAlign w:val="center"/>
            <w:shd w:fill="D9EAF7"/>
          </w:tcPr>
          <w:p>
            <w:pPr>
              <w:jc w:val="left"/>
            </w:pPr>
            <w:r/>
            <w:r>
              <w:rPr>
                <w:rFonts w:ascii="Arial" w:hAnsi="Arial"/>
                <w:b/>
                <w:sz w:val="17"/>
              </w:rPr>
              <w:t>Threat Consideration</w:t>
            </w:r>
          </w:p>
        </w:tc>
        <w:tc>
          <w:tcPr>
            <w:tcW w:type="dxa" w:w="3168"/>
            <w:vAlign w:val="center"/>
            <w:shd w:fill="D9EAF7"/>
          </w:tcPr>
          <w:p>
            <w:pPr>
              <w:jc w:val="left"/>
            </w:pPr>
            <w:r/>
            <w:r>
              <w:rPr>
                <w:rFonts w:ascii="Arial" w:hAnsi="Arial"/>
                <w:b/>
                <w:sz w:val="17"/>
              </w:rPr>
              <w:t>Why It Matters to E-Governance</w:t>
            </w:r>
          </w:p>
        </w:tc>
        <w:tc>
          <w:tcPr>
            <w:tcW w:type="dxa" w:w="2160"/>
            <w:vAlign w:val="center"/>
            <w:shd w:fill="D9EAF7"/>
          </w:tcPr>
          <w:p>
            <w:pPr>
              <w:jc w:val="left"/>
            </w:pPr>
            <w:r/>
            <w:r>
              <w:rPr>
                <w:rFonts w:ascii="Arial" w:hAnsi="Arial"/>
                <w:b/>
                <w:sz w:val="17"/>
              </w:rPr>
              <w:t>Detection Priority</w:t>
            </w:r>
          </w:p>
        </w:tc>
        <w:tc>
          <w:tcPr>
            <w:tcW w:type="dxa" w:w="2880"/>
            <w:vAlign w:val="center"/>
            <w:shd w:fill="D9EAF7"/>
          </w:tcPr>
          <w:p>
            <w:pPr>
              <w:jc w:val="left"/>
            </w:pPr>
            <w:r/>
            <w:r>
              <w:rPr>
                <w:rFonts w:ascii="Arial" w:hAnsi="Arial"/>
                <w:b/>
                <w:sz w:val="17"/>
              </w:rPr>
              <w:t>Preparedness Response</w:t>
            </w:r>
          </w:p>
        </w:tc>
      </w:tr>
      <w:tr>
        <w:tc>
          <w:tcPr>
            <w:tcW w:type="dxa" w:w="2160"/>
            <w:vAlign w:val="center"/>
          </w:tcPr>
          <w:p>
            <w:pPr>
              <w:jc w:val="left"/>
            </w:pPr>
            <w:r/>
            <w:r>
              <w:rPr>
                <w:rFonts w:ascii="Arial" w:hAnsi="Arial"/>
                <w:b w:val="0"/>
                <w:sz w:val="17"/>
              </w:rPr>
              <w:t>Identity / account compromise</w:t>
            </w:r>
          </w:p>
        </w:tc>
        <w:tc>
          <w:tcPr>
            <w:tcW w:type="dxa" w:w="3168"/>
            <w:vAlign w:val="center"/>
          </w:tcPr>
          <w:p>
            <w:pPr>
              <w:jc w:val="left"/>
            </w:pPr>
            <w:r/>
            <w:r>
              <w:rPr>
                <w:rFonts w:ascii="Arial" w:hAnsi="Arial"/>
                <w:b w:val="0"/>
                <w:sz w:val="17"/>
              </w:rPr>
              <w:t>Privileged or citizen accounts can affect access to services and data.</w:t>
            </w:r>
          </w:p>
        </w:tc>
        <w:tc>
          <w:tcPr>
            <w:tcW w:type="dxa" w:w="2160"/>
            <w:vAlign w:val="center"/>
          </w:tcPr>
          <w:p>
            <w:pPr>
              <w:jc w:val="left"/>
            </w:pPr>
            <w:r/>
            <w:r>
              <w:rPr>
                <w:rFonts w:ascii="Arial" w:hAnsi="Arial"/>
                <w:b w:val="0"/>
                <w:sz w:val="17"/>
              </w:rPr>
              <w:t>Authentication and privilege telemetry</w:t>
            </w:r>
          </w:p>
        </w:tc>
        <w:tc>
          <w:tcPr>
            <w:tcW w:type="dxa" w:w="2880"/>
            <w:vAlign w:val="center"/>
          </w:tcPr>
          <w:p>
            <w:pPr>
              <w:jc w:val="left"/>
            </w:pPr>
            <w:r/>
            <w:r>
              <w:rPr>
                <w:rFonts w:ascii="Arial" w:hAnsi="Arial"/>
                <w:b w:val="0"/>
                <w:sz w:val="17"/>
              </w:rPr>
              <w:t>MFA where appropriate, access review, session controls</w:t>
            </w:r>
          </w:p>
        </w:tc>
      </w:tr>
      <w:tr>
        <w:tc>
          <w:tcPr>
            <w:tcW w:type="dxa" w:w="2160"/>
            <w:vAlign w:val="center"/>
          </w:tcPr>
          <w:p>
            <w:pPr>
              <w:jc w:val="left"/>
            </w:pPr>
            <w:r/>
            <w:r>
              <w:rPr>
                <w:rFonts w:ascii="Arial" w:hAnsi="Arial"/>
                <w:b w:val="0"/>
                <w:sz w:val="17"/>
              </w:rPr>
              <w:t>Exposed application/API weaknesses</w:t>
            </w:r>
          </w:p>
        </w:tc>
        <w:tc>
          <w:tcPr>
            <w:tcW w:type="dxa" w:w="3168"/>
            <w:vAlign w:val="center"/>
          </w:tcPr>
          <w:p>
            <w:pPr>
              <w:jc w:val="left"/>
            </w:pPr>
            <w:r/>
            <w:r>
              <w:rPr>
                <w:rFonts w:ascii="Arial" w:hAnsi="Arial"/>
                <w:b w:val="0"/>
                <w:sz w:val="17"/>
              </w:rPr>
              <w:t>Public interfaces increase exposure to application attacks.</w:t>
            </w:r>
          </w:p>
        </w:tc>
        <w:tc>
          <w:tcPr>
            <w:tcW w:type="dxa" w:w="2160"/>
            <w:vAlign w:val="center"/>
          </w:tcPr>
          <w:p>
            <w:pPr>
              <w:jc w:val="left"/>
            </w:pPr>
            <w:r/>
            <w:r>
              <w:rPr>
                <w:rFonts w:ascii="Arial" w:hAnsi="Arial"/>
                <w:b w:val="0"/>
                <w:sz w:val="17"/>
              </w:rPr>
              <w:t>WAF/API/application logs</w:t>
            </w:r>
          </w:p>
        </w:tc>
        <w:tc>
          <w:tcPr>
            <w:tcW w:type="dxa" w:w="2880"/>
            <w:vAlign w:val="center"/>
          </w:tcPr>
          <w:p>
            <w:pPr>
              <w:jc w:val="left"/>
            </w:pPr>
            <w:r/>
            <w:r>
              <w:rPr>
                <w:rFonts w:ascii="Arial" w:hAnsi="Arial"/>
                <w:b w:val="0"/>
                <w:sz w:val="17"/>
              </w:rPr>
              <w:t>Secure development, testing, patching and authorization review</w:t>
            </w:r>
          </w:p>
        </w:tc>
      </w:tr>
      <w:tr>
        <w:tc>
          <w:tcPr>
            <w:tcW w:type="dxa" w:w="2160"/>
            <w:vAlign w:val="center"/>
          </w:tcPr>
          <w:p>
            <w:pPr>
              <w:jc w:val="left"/>
            </w:pPr>
            <w:r/>
            <w:r>
              <w:rPr>
                <w:rFonts w:ascii="Arial" w:hAnsi="Arial"/>
                <w:b w:val="0"/>
                <w:sz w:val="17"/>
              </w:rPr>
              <w:t>Ransomware / destructive activity</w:t>
            </w:r>
          </w:p>
        </w:tc>
        <w:tc>
          <w:tcPr>
            <w:tcW w:type="dxa" w:w="3168"/>
            <w:vAlign w:val="center"/>
          </w:tcPr>
          <w:p>
            <w:pPr>
              <w:jc w:val="left"/>
            </w:pPr>
            <w:r/>
            <w:r>
              <w:rPr>
                <w:rFonts w:ascii="Arial" w:hAnsi="Arial"/>
                <w:b w:val="0"/>
                <w:sz w:val="17"/>
              </w:rPr>
              <w:t>Service and data availability can be affected.</w:t>
            </w:r>
          </w:p>
        </w:tc>
        <w:tc>
          <w:tcPr>
            <w:tcW w:type="dxa" w:w="2160"/>
            <w:vAlign w:val="center"/>
          </w:tcPr>
          <w:p>
            <w:pPr>
              <w:jc w:val="left"/>
            </w:pPr>
            <w:r/>
            <w:r>
              <w:rPr>
                <w:rFonts w:ascii="Arial" w:hAnsi="Arial"/>
                <w:b w:val="0"/>
                <w:sz w:val="17"/>
              </w:rPr>
              <w:t>Endpoint + file + service telemetry</w:t>
            </w:r>
          </w:p>
        </w:tc>
        <w:tc>
          <w:tcPr>
            <w:tcW w:type="dxa" w:w="2880"/>
            <w:vAlign w:val="center"/>
          </w:tcPr>
          <w:p>
            <w:pPr>
              <w:jc w:val="left"/>
            </w:pPr>
            <w:r/>
            <w:r>
              <w:rPr>
                <w:rFonts w:ascii="Arial" w:hAnsi="Arial"/>
                <w:b w:val="0"/>
                <w:sz w:val="17"/>
              </w:rPr>
              <w:t>Tested backups, segmentation, recovery exercises</w:t>
            </w:r>
          </w:p>
        </w:tc>
      </w:tr>
      <w:tr>
        <w:tc>
          <w:tcPr>
            <w:tcW w:type="dxa" w:w="2160"/>
            <w:vAlign w:val="center"/>
          </w:tcPr>
          <w:p>
            <w:pPr>
              <w:jc w:val="left"/>
            </w:pPr>
            <w:r/>
            <w:r>
              <w:rPr>
                <w:rFonts w:ascii="Arial" w:hAnsi="Arial"/>
                <w:b w:val="0"/>
                <w:sz w:val="17"/>
              </w:rPr>
              <w:t>Availability attacks</w:t>
            </w:r>
          </w:p>
        </w:tc>
        <w:tc>
          <w:tcPr>
            <w:tcW w:type="dxa" w:w="3168"/>
            <w:vAlign w:val="center"/>
          </w:tcPr>
          <w:p>
            <w:pPr>
              <w:jc w:val="left"/>
            </w:pPr>
            <w:r/>
            <w:r>
              <w:rPr>
                <w:rFonts w:ascii="Arial" w:hAnsi="Arial"/>
                <w:b w:val="0"/>
                <w:sz w:val="17"/>
              </w:rPr>
              <w:t>Citizen access can be disrupted even without data theft.</w:t>
            </w:r>
          </w:p>
        </w:tc>
        <w:tc>
          <w:tcPr>
            <w:tcW w:type="dxa" w:w="2160"/>
            <w:vAlign w:val="center"/>
          </w:tcPr>
          <w:p>
            <w:pPr>
              <w:jc w:val="left"/>
            </w:pPr>
            <w:r/>
            <w:r>
              <w:rPr>
                <w:rFonts w:ascii="Arial" w:hAnsi="Arial"/>
                <w:b w:val="0"/>
                <w:sz w:val="17"/>
              </w:rPr>
              <w:t>Network/service availability telemetry</w:t>
            </w:r>
          </w:p>
        </w:tc>
        <w:tc>
          <w:tcPr>
            <w:tcW w:type="dxa" w:w="2880"/>
            <w:vAlign w:val="center"/>
          </w:tcPr>
          <w:p>
            <w:pPr>
              <w:jc w:val="left"/>
            </w:pPr>
            <w:r/>
            <w:r>
              <w:rPr>
                <w:rFonts w:ascii="Arial" w:hAnsi="Arial"/>
                <w:b w:val="0"/>
                <w:sz w:val="17"/>
              </w:rPr>
              <w:t>Continuity planning, capacity and escalation procedures</w:t>
            </w:r>
          </w:p>
        </w:tc>
      </w:tr>
      <w:tr>
        <w:tc>
          <w:tcPr>
            <w:tcW w:type="dxa" w:w="2160"/>
            <w:vAlign w:val="center"/>
          </w:tcPr>
          <w:p>
            <w:pPr>
              <w:jc w:val="left"/>
            </w:pPr>
            <w:r/>
            <w:r>
              <w:rPr>
                <w:rFonts w:ascii="Arial" w:hAnsi="Arial"/>
                <w:b w:val="0"/>
                <w:sz w:val="17"/>
              </w:rPr>
              <w:t>Third-party/dependency risk</w:t>
            </w:r>
          </w:p>
        </w:tc>
        <w:tc>
          <w:tcPr>
            <w:tcW w:type="dxa" w:w="3168"/>
            <w:vAlign w:val="center"/>
          </w:tcPr>
          <w:p>
            <w:pPr>
              <w:jc w:val="left"/>
            </w:pPr>
            <w:r/>
            <w:r>
              <w:rPr>
                <w:rFonts w:ascii="Arial" w:hAnsi="Arial"/>
                <w:b w:val="0"/>
                <w:sz w:val="17"/>
              </w:rPr>
              <w:t>Public services may depend on vendors and software components.</w:t>
            </w:r>
          </w:p>
        </w:tc>
        <w:tc>
          <w:tcPr>
            <w:tcW w:type="dxa" w:w="2160"/>
            <w:vAlign w:val="center"/>
          </w:tcPr>
          <w:p>
            <w:pPr>
              <w:jc w:val="left"/>
            </w:pPr>
            <w:r/>
            <w:r>
              <w:rPr>
                <w:rFonts w:ascii="Arial" w:hAnsi="Arial"/>
                <w:b w:val="0"/>
                <w:sz w:val="17"/>
              </w:rPr>
              <w:t>Vendor/dependency monitoring</w:t>
            </w:r>
          </w:p>
        </w:tc>
        <w:tc>
          <w:tcPr>
            <w:tcW w:type="dxa" w:w="2880"/>
            <w:vAlign w:val="center"/>
          </w:tcPr>
          <w:p>
            <w:pPr>
              <w:jc w:val="left"/>
            </w:pPr>
            <w:r/>
            <w:r>
              <w:rPr>
                <w:rFonts w:ascii="Arial" w:hAnsi="Arial"/>
                <w:b w:val="0"/>
                <w:sz w:val="17"/>
              </w:rPr>
              <w:t>Contracts, inventory, security requirements and contingency plans</w:t>
            </w:r>
          </w:p>
        </w:tc>
      </w:tr>
      <w:tr>
        <w:tc>
          <w:tcPr>
            <w:tcW w:type="dxa" w:w="2160"/>
            <w:vAlign w:val="center"/>
          </w:tcPr>
          <w:p>
            <w:pPr>
              <w:jc w:val="left"/>
            </w:pPr>
            <w:r/>
            <w:r>
              <w:rPr>
                <w:rFonts w:ascii="Arial" w:hAnsi="Arial"/>
                <w:b w:val="0"/>
                <w:sz w:val="17"/>
              </w:rPr>
              <w:t>Known exploited vulnerabilities</w:t>
            </w:r>
          </w:p>
        </w:tc>
        <w:tc>
          <w:tcPr>
            <w:tcW w:type="dxa" w:w="3168"/>
            <w:vAlign w:val="center"/>
          </w:tcPr>
          <w:p>
            <w:pPr>
              <w:jc w:val="left"/>
            </w:pPr>
            <w:r/>
            <w:r>
              <w:rPr>
                <w:rFonts w:ascii="Arial" w:hAnsi="Arial"/>
                <w:b w:val="0"/>
                <w:sz w:val="17"/>
              </w:rPr>
              <w:t>Public-facing systems can be targeted after vulnerabilities become known.</w:t>
            </w:r>
          </w:p>
        </w:tc>
        <w:tc>
          <w:tcPr>
            <w:tcW w:type="dxa" w:w="2160"/>
            <w:vAlign w:val="center"/>
          </w:tcPr>
          <w:p>
            <w:pPr>
              <w:jc w:val="left"/>
            </w:pPr>
            <w:r/>
            <w:r>
              <w:rPr>
                <w:rFonts w:ascii="Arial" w:hAnsi="Arial"/>
                <w:b w:val="0"/>
                <w:sz w:val="17"/>
              </w:rPr>
              <w:t>Asset/vulnerability monitoring</w:t>
            </w:r>
          </w:p>
        </w:tc>
        <w:tc>
          <w:tcPr>
            <w:tcW w:type="dxa" w:w="2880"/>
            <w:vAlign w:val="center"/>
          </w:tcPr>
          <w:p>
            <w:pPr>
              <w:jc w:val="left"/>
            </w:pPr>
            <w:r/>
            <w:r>
              <w:rPr>
                <w:rFonts w:ascii="Arial" w:hAnsi="Arial"/>
                <w:b w:val="0"/>
                <w:sz w:val="17"/>
              </w:rPr>
              <w:t>Risk-based accelerated remediation and verification</w:t>
            </w:r>
          </w:p>
        </w:tc>
      </w:tr>
    </w:tbl>
    <w:p/>
    <w:p>
      <w:pPr>
        <w:pStyle w:val="Heading1"/>
      </w:pPr>
      <w:r>
        <w:t>15. Vulnerability Management Integration</w:t>
      </w:r>
    </w:p>
    <w:p>
      <w:r>
        <w:t>Incident response and vulnerability management should operate as connected processes. CTI can identify which vulnerabilities deserve urgent attention, while incident investigations can reveal weaknesses that need to be added to the vulnerability program.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vAlign w:val="center"/>
            <w:shd w:fill="D9EAF7"/>
          </w:tcPr>
          <w:p>
            <w:pPr>
              <w:jc w:val="left"/>
            </w:pPr>
            <w:r/>
            <w:r>
              <w:rPr>
                <w:rFonts w:ascii="Arial" w:hAnsi="Arial"/>
                <w:b/>
                <w:sz w:val="17"/>
              </w:rPr>
              <w:t>Priority</w:t>
            </w:r>
          </w:p>
        </w:tc>
        <w:tc>
          <w:tcPr>
            <w:tcW w:type="dxa" w:w="3600"/>
            <w:vAlign w:val="center"/>
            <w:shd w:fill="D9EAF7"/>
          </w:tcPr>
          <w:p>
            <w:pPr>
              <w:jc w:val="left"/>
            </w:pPr>
            <w:r/>
            <w:r>
              <w:rPr>
                <w:rFonts w:ascii="Arial" w:hAnsi="Arial"/>
                <w:b/>
                <w:sz w:val="17"/>
              </w:rPr>
              <w:t>Trigger</w:t>
            </w:r>
          </w:p>
        </w:tc>
        <w:tc>
          <w:tcPr>
            <w:tcW w:type="dxa" w:w="4176"/>
            <w:vAlign w:val="center"/>
            <w:shd w:fill="D9EAF7"/>
          </w:tcPr>
          <w:p>
            <w:pPr>
              <w:jc w:val="left"/>
            </w:pPr>
            <w:r/>
            <w:r>
              <w:rPr>
                <w:rFonts w:ascii="Arial" w:hAnsi="Arial"/>
                <w:b/>
                <w:sz w:val="17"/>
              </w:rPr>
              <w:t>Recommended Defensive Response</w:t>
            </w:r>
          </w:p>
        </w:tc>
        <w:tc>
          <w:tcPr>
            <w:tcW w:type="dxa" w:w="1728"/>
            <w:vAlign w:val="center"/>
            <w:shd w:fill="D9EAF7"/>
          </w:tcPr>
          <w:p>
            <w:pPr>
              <w:jc w:val="left"/>
            </w:pPr>
            <w:r/>
            <w:r>
              <w:rPr>
                <w:rFonts w:ascii="Arial" w:hAnsi="Arial"/>
                <w:b/>
                <w:sz w:val="17"/>
              </w:rPr>
              <w:t>Verification</w:t>
            </w:r>
          </w:p>
        </w:tc>
      </w:tr>
      <w:tr>
        <w:tc>
          <w:tcPr>
            <w:tcW w:type="dxa" w:w="1440"/>
            <w:vAlign w:val="center"/>
          </w:tcPr>
          <w:p>
            <w:pPr>
              <w:jc w:val="left"/>
            </w:pPr>
            <w:r/>
            <w:r>
              <w:rPr>
                <w:rFonts w:ascii="Arial" w:hAnsi="Arial"/>
                <w:b w:val="0"/>
                <w:sz w:val="17"/>
              </w:rPr>
              <w:t>Critical</w:t>
            </w:r>
          </w:p>
        </w:tc>
        <w:tc>
          <w:tcPr>
            <w:tcW w:type="dxa" w:w="3600"/>
            <w:vAlign w:val="center"/>
          </w:tcPr>
          <w:p>
            <w:pPr>
              <w:jc w:val="left"/>
            </w:pPr>
            <w:r/>
            <w:r>
              <w:rPr>
                <w:rFonts w:ascii="Arial" w:hAnsi="Arial"/>
                <w:b w:val="0"/>
                <w:sz w:val="17"/>
              </w:rPr>
              <w:t>Known exploited / exposed / critical service impact</w:t>
            </w:r>
          </w:p>
        </w:tc>
        <w:tc>
          <w:tcPr>
            <w:tcW w:type="dxa" w:w="4176"/>
            <w:vAlign w:val="center"/>
          </w:tcPr>
          <w:p>
            <w:pPr>
              <w:jc w:val="left"/>
            </w:pPr>
            <w:r/>
            <w:r>
              <w:rPr>
                <w:rFonts w:ascii="Arial" w:hAnsi="Arial"/>
                <w:b w:val="0"/>
                <w:sz w:val="17"/>
              </w:rPr>
              <w:t>Immediate validation, accelerated remediation or compensating control, heightened monitoring</w:t>
            </w:r>
          </w:p>
        </w:tc>
        <w:tc>
          <w:tcPr>
            <w:tcW w:type="dxa" w:w="1728"/>
            <w:vAlign w:val="center"/>
          </w:tcPr>
          <w:p>
            <w:pPr>
              <w:jc w:val="left"/>
            </w:pPr>
            <w:r/>
            <w:r>
              <w:rPr>
                <w:rFonts w:ascii="Arial" w:hAnsi="Arial"/>
                <w:b w:val="0"/>
                <w:sz w:val="17"/>
              </w:rPr>
              <w:t>Re-scan/test + evidence</w:t>
            </w:r>
          </w:p>
        </w:tc>
      </w:tr>
      <w:tr>
        <w:tc>
          <w:tcPr>
            <w:tcW w:type="dxa" w:w="1440"/>
            <w:vAlign w:val="center"/>
          </w:tcPr>
          <w:p>
            <w:pPr>
              <w:jc w:val="left"/>
            </w:pPr>
            <w:r/>
            <w:r>
              <w:rPr>
                <w:rFonts w:ascii="Arial" w:hAnsi="Arial"/>
                <w:b w:val="0"/>
                <w:sz w:val="17"/>
              </w:rPr>
              <w:t>High</w:t>
            </w:r>
          </w:p>
        </w:tc>
        <w:tc>
          <w:tcPr>
            <w:tcW w:type="dxa" w:w="3600"/>
            <w:vAlign w:val="center"/>
          </w:tcPr>
          <w:p>
            <w:pPr>
              <w:jc w:val="left"/>
            </w:pPr>
            <w:r/>
            <w:r>
              <w:rPr>
                <w:rFonts w:ascii="Arial" w:hAnsi="Arial"/>
                <w:b w:val="0"/>
                <w:sz w:val="17"/>
              </w:rPr>
              <w:t>High-risk exposed weakness or important asset</w:t>
            </w:r>
          </w:p>
        </w:tc>
        <w:tc>
          <w:tcPr>
            <w:tcW w:type="dxa" w:w="4176"/>
            <w:vAlign w:val="center"/>
          </w:tcPr>
          <w:p>
            <w:pPr>
              <w:jc w:val="left"/>
            </w:pPr>
            <w:r/>
            <w:r>
              <w:rPr>
                <w:rFonts w:ascii="Arial" w:hAnsi="Arial"/>
                <w:b w:val="0"/>
                <w:sz w:val="17"/>
              </w:rPr>
              <w:t>Prioritized patching or compensating control</w:t>
            </w:r>
          </w:p>
        </w:tc>
        <w:tc>
          <w:tcPr>
            <w:tcW w:type="dxa" w:w="1728"/>
            <w:vAlign w:val="center"/>
          </w:tcPr>
          <w:p>
            <w:pPr>
              <w:jc w:val="left"/>
            </w:pPr>
            <w:r/>
            <w:r>
              <w:rPr>
                <w:rFonts w:ascii="Arial" w:hAnsi="Arial"/>
                <w:b w:val="0"/>
                <w:sz w:val="17"/>
              </w:rPr>
              <w:t>Technical verification</w:t>
            </w:r>
          </w:p>
        </w:tc>
      </w:tr>
      <w:tr>
        <w:tc>
          <w:tcPr>
            <w:tcW w:type="dxa" w:w="1440"/>
            <w:vAlign w:val="center"/>
          </w:tcPr>
          <w:p>
            <w:pPr>
              <w:jc w:val="left"/>
            </w:pPr>
            <w:r/>
            <w:r>
              <w:rPr>
                <w:rFonts w:ascii="Arial" w:hAnsi="Arial"/>
                <w:b w:val="0"/>
                <w:sz w:val="17"/>
              </w:rPr>
              <w:t>Medium</w:t>
            </w:r>
          </w:p>
        </w:tc>
        <w:tc>
          <w:tcPr>
            <w:tcW w:type="dxa" w:w="3600"/>
            <w:vAlign w:val="center"/>
          </w:tcPr>
          <w:p>
            <w:pPr>
              <w:jc w:val="left"/>
            </w:pPr>
            <w:r/>
            <w:r>
              <w:rPr>
                <w:rFonts w:ascii="Arial" w:hAnsi="Arial"/>
                <w:b w:val="0"/>
                <w:sz w:val="17"/>
              </w:rPr>
              <w:t>Moderate risk and limited exposure</w:t>
            </w:r>
          </w:p>
        </w:tc>
        <w:tc>
          <w:tcPr>
            <w:tcW w:type="dxa" w:w="4176"/>
            <w:vAlign w:val="center"/>
          </w:tcPr>
          <w:p>
            <w:pPr>
              <w:jc w:val="left"/>
            </w:pPr>
            <w:r/>
            <w:r>
              <w:rPr>
                <w:rFonts w:ascii="Arial" w:hAnsi="Arial"/>
                <w:b w:val="0"/>
                <w:sz w:val="17"/>
              </w:rPr>
              <w:t>Scheduled remediation based on risk</w:t>
            </w:r>
          </w:p>
        </w:tc>
        <w:tc>
          <w:tcPr>
            <w:tcW w:type="dxa" w:w="1728"/>
            <w:vAlign w:val="center"/>
          </w:tcPr>
          <w:p>
            <w:pPr>
              <w:jc w:val="left"/>
            </w:pPr>
            <w:r/>
            <w:r>
              <w:rPr>
                <w:rFonts w:ascii="Arial" w:hAnsi="Arial"/>
                <w:b w:val="0"/>
                <w:sz w:val="17"/>
              </w:rPr>
              <w:t>Routine validation</w:t>
            </w:r>
          </w:p>
        </w:tc>
      </w:tr>
      <w:tr>
        <w:tc>
          <w:tcPr>
            <w:tcW w:type="dxa" w:w="1440"/>
            <w:vAlign w:val="center"/>
          </w:tcPr>
          <w:p>
            <w:pPr>
              <w:jc w:val="left"/>
            </w:pPr>
            <w:r/>
            <w:r>
              <w:rPr>
                <w:rFonts w:ascii="Arial" w:hAnsi="Arial"/>
                <w:b w:val="0"/>
                <w:sz w:val="17"/>
              </w:rPr>
              <w:t>Low</w:t>
            </w:r>
          </w:p>
        </w:tc>
        <w:tc>
          <w:tcPr>
            <w:tcW w:type="dxa" w:w="3600"/>
            <w:vAlign w:val="center"/>
          </w:tcPr>
          <w:p>
            <w:pPr>
              <w:jc w:val="left"/>
            </w:pPr>
            <w:r/>
            <w:r>
              <w:rPr>
                <w:rFonts w:ascii="Arial" w:hAnsi="Arial"/>
                <w:b w:val="0"/>
                <w:sz w:val="17"/>
              </w:rPr>
              <w:t>Limited impact/exposure</w:t>
            </w:r>
          </w:p>
        </w:tc>
        <w:tc>
          <w:tcPr>
            <w:tcW w:type="dxa" w:w="4176"/>
            <w:vAlign w:val="center"/>
          </w:tcPr>
          <w:p>
            <w:pPr>
              <w:jc w:val="left"/>
            </w:pPr>
            <w:r/>
            <w:r>
              <w:rPr>
                <w:rFonts w:ascii="Arial" w:hAnsi="Arial"/>
                <w:b w:val="0"/>
                <w:sz w:val="17"/>
              </w:rPr>
              <w:t>Routine remediation and monitoring</w:t>
            </w:r>
          </w:p>
        </w:tc>
        <w:tc>
          <w:tcPr>
            <w:tcW w:type="dxa" w:w="1728"/>
            <w:vAlign w:val="center"/>
          </w:tcPr>
          <w:p>
            <w:pPr>
              <w:jc w:val="left"/>
            </w:pPr>
            <w:r/>
            <w:r>
              <w:rPr>
                <w:rFonts w:ascii="Arial" w:hAnsi="Arial"/>
                <w:b w:val="0"/>
                <w:sz w:val="17"/>
              </w:rPr>
              <w:t>Periodic review</w:t>
            </w:r>
          </w:p>
        </w:tc>
      </w:tr>
    </w:tbl>
    <w:p/>
    <w:p>
      <w:pPr>
        <w:pStyle w:val="Heading1"/>
      </w:pPr>
      <w:r>
        <w:t>16. Incident Severity and Escalation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vAlign w:val="center"/>
            <w:shd w:fill="D9EAF7"/>
          </w:tcPr>
          <w:p>
            <w:pPr>
              <w:jc w:val="left"/>
            </w:pPr>
            <w:r/>
            <w:r>
              <w:rPr>
                <w:rFonts w:ascii="Arial" w:hAnsi="Arial"/>
                <w:b/>
                <w:sz w:val="17"/>
              </w:rPr>
              <w:t>Severity</w:t>
            </w:r>
          </w:p>
        </w:tc>
        <w:tc>
          <w:tcPr>
            <w:tcW w:type="dxa" w:w="4176"/>
            <w:vAlign w:val="center"/>
            <w:shd w:fill="D9EAF7"/>
          </w:tcPr>
          <w:p>
            <w:pPr>
              <w:jc w:val="left"/>
            </w:pPr>
            <w:r/>
            <w:r>
              <w:rPr>
                <w:rFonts w:ascii="Arial" w:hAnsi="Arial"/>
                <w:b/>
                <w:sz w:val="17"/>
              </w:rPr>
              <w:t>Typical Criteria</w:t>
            </w:r>
          </w:p>
        </w:tc>
        <w:tc>
          <w:tcPr>
            <w:tcW w:type="dxa" w:w="3168"/>
            <w:vAlign w:val="center"/>
            <w:shd w:fill="D9EAF7"/>
          </w:tcPr>
          <w:p>
            <w:pPr>
              <w:jc w:val="left"/>
            </w:pPr>
            <w:r/>
            <w:r>
              <w:rPr>
                <w:rFonts w:ascii="Arial" w:hAnsi="Arial"/>
                <w:b/>
                <w:sz w:val="17"/>
              </w:rPr>
              <w:t>Initial Escalation</w:t>
            </w:r>
          </w:p>
        </w:tc>
        <w:tc>
          <w:tcPr>
            <w:tcW w:type="dxa" w:w="2160"/>
            <w:vAlign w:val="center"/>
            <w:shd w:fill="D9EAF7"/>
          </w:tcPr>
          <w:p>
            <w:pPr>
              <w:jc w:val="left"/>
            </w:pPr>
            <w:r/>
            <w:r>
              <w:rPr>
                <w:rFonts w:ascii="Arial" w:hAnsi="Arial"/>
                <w:b/>
                <w:sz w:val="17"/>
              </w:rPr>
              <w:t>Service Consideration</w:t>
            </w:r>
          </w:p>
        </w:tc>
      </w:tr>
      <w:tr>
        <w:tc>
          <w:tcPr>
            <w:tcW w:type="dxa" w:w="1440"/>
            <w:vAlign w:val="center"/>
          </w:tcPr>
          <w:p>
            <w:pPr>
              <w:jc w:val="left"/>
            </w:pPr>
            <w:r/>
            <w:r>
              <w:rPr>
                <w:rFonts w:ascii="Arial" w:hAnsi="Arial"/>
                <w:b w:val="0"/>
                <w:sz w:val="17"/>
              </w:rPr>
              <w:t>Critical</w:t>
            </w:r>
          </w:p>
        </w:tc>
        <w:tc>
          <w:tcPr>
            <w:tcW w:type="dxa" w:w="4176"/>
            <w:vAlign w:val="center"/>
          </w:tcPr>
          <w:p>
            <w:pPr>
              <w:jc w:val="left"/>
            </w:pPr>
            <w:r/>
            <w:r>
              <w:rPr>
                <w:rFonts w:ascii="Arial" w:hAnsi="Arial"/>
                <w:b w:val="0"/>
                <w:sz w:val="17"/>
              </w:rPr>
              <w:t>Major citizen-facing outage, widespread compromise, significant data impact or persistent privileged access.</w:t>
            </w:r>
          </w:p>
        </w:tc>
        <w:tc>
          <w:tcPr>
            <w:tcW w:type="dxa" w:w="3168"/>
            <w:vAlign w:val="center"/>
          </w:tcPr>
          <w:p>
            <w:pPr>
              <w:jc w:val="left"/>
            </w:pPr>
            <w:r/>
            <w:r>
              <w:rPr>
                <w:rFonts w:ascii="Arial" w:hAnsi="Arial"/>
                <w:b w:val="0"/>
                <w:sz w:val="17"/>
              </w:rPr>
              <w:t>Immediate IR leadership + management + applicable external coordination.</w:t>
            </w:r>
          </w:p>
        </w:tc>
        <w:tc>
          <w:tcPr>
            <w:tcW w:type="dxa" w:w="2160"/>
            <w:vAlign w:val="center"/>
          </w:tcPr>
          <w:p>
            <w:pPr>
              <w:jc w:val="left"/>
            </w:pPr>
            <w:r/>
            <w:r>
              <w:rPr>
                <w:rFonts w:ascii="Arial" w:hAnsi="Arial"/>
                <w:b w:val="0"/>
                <w:sz w:val="17"/>
              </w:rPr>
              <w:t>Prioritize life/essential public-service continuity and controlled recovery.</w:t>
            </w:r>
          </w:p>
        </w:tc>
      </w:tr>
      <w:tr>
        <w:tc>
          <w:tcPr>
            <w:tcW w:type="dxa" w:w="1440"/>
            <w:vAlign w:val="center"/>
          </w:tcPr>
          <w:p>
            <w:pPr>
              <w:jc w:val="left"/>
            </w:pPr>
            <w:r/>
            <w:r>
              <w:rPr>
                <w:rFonts w:ascii="Arial" w:hAnsi="Arial"/>
                <w:b w:val="0"/>
                <w:sz w:val="17"/>
              </w:rPr>
              <w:t>High</w:t>
            </w:r>
          </w:p>
        </w:tc>
        <w:tc>
          <w:tcPr>
            <w:tcW w:type="dxa" w:w="4176"/>
            <w:vAlign w:val="center"/>
          </w:tcPr>
          <w:p>
            <w:pPr>
              <w:jc w:val="left"/>
            </w:pPr>
            <w:r/>
            <w:r>
              <w:rPr>
                <w:rFonts w:ascii="Arial" w:hAnsi="Arial"/>
                <w:b w:val="0"/>
                <w:sz w:val="17"/>
              </w:rPr>
              <w:t>Important service compromise, privileged account compromise or exposed critical component.</w:t>
            </w:r>
          </w:p>
        </w:tc>
        <w:tc>
          <w:tcPr>
            <w:tcW w:type="dxa" w:w="3168"/>
            <w:vAlign w:val="center"/>
          </w:tcPr>
          <w:p>
            <w:pPr>
              <w:jc w:val="left"/>
            </w:pPr>
            <w:r/>
            <w:r>
              <w:rPr>
                <w:rFonts w:ascii="Arial" w:hAnsi="Arial"/>
                <w:b w:val="0"/>
                <w:sz w:val="17"/>
              </w:rPr>
              <w:t>Rapid technical response + management notification.</w:t>
            </w:r>
          </w:p>
        </w:tc>
        <w:tc>
          <w:tcPr>
            <w:tcW w:type="dxa" w:w="2160"/>
            <w:vAlign w:val="center"/>
          </w:tcPr>
          <w:p>
            <w:pPr>
              <w:jc w:val="left"/>
            </w:pPr>
            <w:r/>
            <w:r>
              <w:rPr>
                <w:rFonts w:ascii="Arial" w:hAnsi="Arial"/>
                <w:b w:val="0"/>
                <w:sz w:val="17"/>
              </w:rPr>
              <w:t>Contain quickly while preserving service where safe.</w:t>
            </w:r>
          </w:p>
        </w:tc>
      </w:tr>
      <w:tr>
        <w:tc>
          <w:tcPr>
            <w:tcW w:type="dxa" w:w="1440"/>
            <w:vAlign w:val="center"/>
          </w:tcPr>
          <w:p>
            <w:pPr>
              <w:jc w:val="left"/>
            </w:pPr>
            <w:r/>
            <w:r>
              <w:rPr>
                <w:rFonts w:ascii="Arial" w:hAnsi="Arial"/>
                <w:b w:val="0"/>
                <w:sz w:val="17"/>
              </w:rPr>
              <w:t>Medium</w:t>
            </w:r>
          </w:p>
        </w:tc>
        <w:tc>
          <w:tcPr>
            <w:tcW w:type="dxa" w:w="4176"/>
            <w:vAlign w:val="center"/>
          </w:tcPr>
          <w:p>
            <w:pPr>
              <w:jc w:val="left"/>
            </w:pPr>
            <w:r/>
            <w:r>
              <w:rPr>
                <w:rFonts w:ascii="Arial" w:hAnsi="Arial"/>
                <w:b w:val="0"/>
                <w:sz w:val="17"/>
              </w:rPr>
              <w:t>Limited compromise or suspicious activity with contained impact.</w:t>
            </w:r>
          </w:p>
        </w:tc>
        <w:tc>
          <w:tcPr>
            <w:tcW w:type="dxa" w:w="3168"/>
            <w:vAlign w:val="center"/>
          </w:tcPr>
          <w:p>
            <w:pPr>
              <w:jc w:val="left"/>
            </w:pPr>
            <w:r/>
            <w:r>
              <w:rPr>
                <w:rFonts w:ascii="Arial" w:hAnsi="Arial"/>
                <w:b w:val="0"/>
                <w:sz w:val="17"/>
              </w:rPr>
              <w:t>Security investigation + service-owner coordination.</w:t>
            </w:r>
          </w:p>
        </w:tc>
        <w:tc>
          <w:tcPr>
            <w:tcW w:type="dxa" w:w="2160"/>
            <w:vAlign w:val="center"/>
          </w:tcPr>
          <w:p>
            <w:pPr>
              <w:jc w:val="left"/>
            </w:pPr>
            <w:r/>
            <w:r>
              <w:rPr>
                <w:rFonts w:ascii="Arial" w:hAnsi="Arial"/>
                <w:b w:val="0"/>
                <w:sz w:val="17"/>
              </w:rPr>
              <w:t>Monitor impact and prevent escalation.</w:t>
            </w:r>
          </w:p>
        </w:tc>
      </w:tr>
      <w:tr>
        <w:tc>
          <w:tcPr>
            <w:tcW w:type="dxa" w:w="1440"/>
            <w:vAlign w:val="center"/>
          </w:tcPr>
          <w:p>
            <w:pPr>
              <w:jc w:val="left"/>
            </w:pPr>
            <w:r/>
            <w:r>
              <w:rPr>
                <w:rFonts w:ascii="Arial" w:hAnsi="Arial"/>
                <w:b w:val="0"/>
                <w:sz w:val="17"/>
              </w:rPr>
              <w:t>Low</w:t>
            </w:r>
          </w:p>
        </w:tc>
        <w:tc>
          <w:tcPr>
            <w:tcW w:type="dxa" w:w="4176"/>
            <w:vAlign w:val="center"/>
          </w:tcPr>
          <w:p>
            <w:pPr>
              <w:jc w:val="left"/>
            </w:pPr>
            <w:r/>
            <w:r>
              <w:rPr>
                <w:rFonts w:ascii="Arial" w:hAnsi="Arial"/>
                <w:b w:val="0"/>
                <w:sz w:val="17"/>
              </w:rPr>
              <w:t>Minor event, policy deviation or likely false positive.</w:t>
            </w:r>
          </w:p>
        </w:tc>
        <w:tc>
          <w:tcPr>
            <w:tcW w:type="dxa" w:w="3168"/>
            <w:vAlign w:val="center"/>
          </w:tcPr>
          <w:p>
            <w:pPr>
              <w:jc w:val="left"/>
            </w:pPr>
            <w:r/>
            <w:r>
              <w:rPr>
                <w:rFonts w:ascii="Arial" w:hAnsi="Arial"/>
                <w:b w:val="0"/>
                <w:sz w:val="17"/>
              </w:rPr>
              <w:t>Routine security handling and documentation.</w:t>
            </w:r>
          </w:p>
        </w:tc>
        <w:tc>
          <w:tcPr>
            <w:tcW w:type="dxa" w:w="2160"/>
            <w:vAlign w:val="center"/>
          </w:tcPr>
          <w:p>
            <w:pPr>
              <w:jc w:val="left"/>
            </w:pPr>
            <w:r/>
            <w:r>
              <w:rPr>
                <w:rFonts w:ascii="Arial" w:hAnsi="Arial"/>
                <w:b w:val="0"/>
                <w:sz w:val="17"/>
              </w:rPr>
              <w:t>No major service impact expected.</w:t>
            </w:r>
          </w:p>
        </w:tc>
      </w:tr>
    </w:tbl>
    <w:p/>
    <w:p>
      <w:pPr>
        <w:pStyle w:val="Heading1"/>
      </w:pPr>
      <w:r>
        <w:t>17. Communication, Evidence and Reporting</w:t>
      </w:r>
    </w:p>
    <w:p>
      <w:pPr>
        <w:pStyle w:val="ListBullet"/>
        <w:spacing w:after="40"/>
      </w:pPr>
      <w:r>
        <w:t>Use a designated incident communication channel and maintain a chronological incident timeline.</w:t>
      </w:r>
    </w:p>
    <w:p>
      <w:pPr>
        <w:pStyle w:val="ListBullet"/>
        <w:spacing w:after="40"/>
      </w:pPr>
      <w:r>
        <w:t>Record important decisions, the person/role making the decision, time, action and reason.</w:t>
      </w:r>
    </w:p>
    <w:p>
      <w:pPr>
        <w:pStyle w:val="ListBullet"/>
        <w:spacing w:after="40"/>
      </w:pPr>
      <w:r>
        <w:t>Preserve relevant logs, alerts, system information and other evidence in a controlled manner.</w:t>
      </w:r>
    </w:p>
    <w:p>
      <w:pPr>
        <w:pStyle w:val="ListBullet"/>
        <w:spacing w:after="40"/>
      </w:pPr>
      <w:r>
        <w:t>Avoid altering or deleting evidence unnecessarily during investigation.</w:t>
      </w:r>
    </w:p>
    <w:p>
      <w:pPr>
        <w:pStyle w:val="ListBullet"/>
        <w:spacing w:after="40"/>
      </w:pPr>
      <w:r>
        <w:t>Coordinate with legal/compliance teams before applicable external notifications.</w:t>
      </w:r>
    </w:p>
    <w:p>
      <w:pPr>
        <w:pStyle w:val="ListBullet"/>
        <w:spacing w:after="40"/>
      </w:pPr>
      <w:r>
        <w:t>Do not publish unverified technical or personal information during an active incident.</w:t>
      </w:r>
    </w:p>
    <w:p>
      <w:pPr>
        <w:pStyle w:val="ListBullet"/>
        <w:spacing w:after="40"/>
      </w:pPr>
      <w:r>
        <w:t>Use established official reporting mechanisms where a reporting obligation applies.</w:t>
      </w:r>
    </w:p>
    <w:p>
      <w:pPr>
        <w:pStyle w:val="ListBullet"/>
        <w:spacing w:after="40"/>
      </w:pPr>
      <w:r>
        <w:t>For India-specific operations, verify the current CERT-In directions and reporting requirements applicable to the organization and incident.</w:t>
      </w:r>
    </w:p>
    <w:p>
      <w:r>
        <w:t>CERT-In's official Directions under Section 70B address information-security practices, prevention, response and reporting of cyber incidents. CERT-In also publishes FAQs describing reporting methods and related responsibilities. The organization should verify the current official requirements rather than relying on a generic report.</w:t>
      </w:r>
    </w:p>
    <w:p>
      <w:pPr>
        <w:pStyle w:val="Heading1"/>
      </w:pPr>
      <w:r>
        <w:t>18. Post-Incident Review and Continuous Improvement</w:t>
      </w:r>
    </w:p>
    <w:p>
      <w:pPr>
        <w:pStyle w:val="ListNumber"/>
        <w:spacing w:after="40"/>
      </w:pPr>
      <w:r>
        <w:t>Create a complete chronological incident timeline.</w:t>
      </w:r>
    </w:p>
    <w:p>
      <w:pPr>
        <w:pStyle w:val="ListNumber"/>
        <w:spacing w:after="40"/>
      </w:pPr>
      <w:r>
        <w:t>Determine root cause and contributing factors.</w:t>
      </w:r>
    </w:p>
    <w:p>
      <w:pPr>
        <w:pStyle w:val="ListNumber"/>
        <w:spacing w:after="40"/>
      </w:pPr>
      <w:r>
        <w:t>Record which controls worked and which were missing, bypassed or ineffective.</w:t>
      </w:r>
    </w:p>
    <w:p>
      <w:pPr>
        <w:pStyle w:val="ListNumber"/>
        <w:spacing w:after="40"/>
      </w:pPr>
      <w:r>
        <w:t>Confirm that vulnerabilities, credentials, configurations and persistence mechanisms were addressed.</w:t>
      </w:r>
    </w:p>
    <w:p>
      <w:pPr>
        <w:pStyle w:val="ListNumber"/>
        <w:spacing w:after="40"/>
      </w:pPr>
      <w:r>
        <w:t>Review service restoration and citizen/user-impact handling.</w:t>
      </w:r>
    </w:p>
    <w:p>
      <w:pPr>
        <w:pStyle w:val="ListNumber"/>
        <w:spacing w:after="40"/>
      </w:pPr>
      <w:r>
        <w:t>Update detection rules, CTI sources, playbooks, policies and training.</w:t>
      </w:r>
    </w:p>
    <w:p>
      <w:pPr>
        <w:pStyle w:val="ListNumber"/>
        <w:spacing w:after="40"/>
      </w:pPr>
      <w:r>
        <w:t>Assign corrective actions to named owners with target dates.</w:t>
      </w:r>
    </w:p>
    <w:p>
      <w:pPr>
        <w:pStyle w:val="ListNumber"/>
        <w:spacing w:after="40"/>
      </w:pPr>
      <w:r>
        <w:t>Conduct a follow-up exercise or validation test for important corrective actions.</w:t>
      </w:r>
    </w:p>
    <w:p>
      <w:pPr>
        <w:pStyle w:val="Heading1"/>
      </w:pPr>
      <w:r>
        <w:t>19. Response Performance Metrics</w:t>
      </w:r>
    </w:p>
    <w:tbl>
      <w:tblPr>
        <w:tblStyle w:val="TableGrid"/>
        <w:tblW w:type="auto" w:w="0"/>
        <w:jc w:val="center"/>
        <w:tblLook w:firstColumn="1" w:firstRow="1" w:lastColumn="0" w:lastRow="0" w:noHBand="0" w:noVBand="1" w:val="04A0"/>
      </w:tblPr>
      <w:tblGrid>
        <w:gridCol w:w="4968"/>
        <w:gridCol w:w="4968"/>
      </w:tblGrid>
      <w:tr>
        <w:tc>
          <w:tcPr>
            <w:tcW w:type="dxa" w:w="4032"/>
            <w:vAlign w:val="center"/>
            <w:shd w:fill="D9EAF7"/>
          </w:tcPr>
          <w:p>
            <w:pPr>
              <w:jc w:val="left"/>
            </w:pPr>
            <w:r/>
            <w:r>
              <w:rPr>
                <w:rFonts w:ascii="Arial" w:hAnsi="Arial"/>
                <w:b/>
                <w:sz w:val="17"/>
              </w:rPr>
              <w:t>Metric</w:t>
            </w:r>
          </w:p>
        </w:tc>
        <w:tc>
          <w:tcPr>
            <w:tcW w:type="dxa" w:w="6912"/>
            <w:vAlign w:val="center"/>
            <w:shd w:fill="D9EAF7"/>
          </w:tcPr>
          <w:p>
            <w:pPr>
              <w:jc w:val="left"/>
            </w:pPr>
            <w:r/>
            <w:r>
              <w:rPr>
                <w:rFonts w:ascii="Arial" w:hAnsi="Arial"/>
                <w:b/>
                <w:sz w:val="17"/>
              </w:rPr>
              <w:t>Purpose</w:t>
            </w:r>
          </w:p>
        </w:tc>
      </w:tr>
      <w:tr>
        <w:tc>
          <w:tcPr>
            <w:tcW w:type="dxa" w:w="4032"/>
            <w:vAlign w:val="center"/>
          </w:tcPr>
          <w:p>
            <w:pPr>
              <w:jc w:val="left"/>
            </w:pPr>
            <w:r/>
            <w:r>
              <w:rPr>
                <w:rFonts w:ascii="Arial" w:hAnsi="Arial"/>
                <w:b w:val="0"/>
                <w:sz w:val="17"/>
              </w:rPr>
              <w:t>Mean Time to Detect (MTTD)</w:t>
            </w:r>
          </w:p>
        </w:tc>
        <w:tc>
          <w:tcPr>
            <w:tcW w:type="dxa" w:w="6912"/>
            <w:vAlign w:val="center"/>
          </w:tcPr>
          <w:p>
            <w:pPr>
              <w:jc w:val="left"/>
            </w:pPr>
            <w:r/>
            <w:r>
              <w:rPr>
                <w:rFonts w:ascii="Arial" w:hAnsi="Arial"/>
                <w:b w:val="0"/>
                <w:sz w:val="17"/>
              </w:rPr>
              <w:t>Measures how quickly suspicious activity is identified.</w:t>
            </w:r>
          </w:p>
        </w:tc>
      </w:tr>
      <w:tr>
        <w:tc>
          <w:tcPr>
            <w:tcW w:type="dxa" w:w="4032"/>
            <w:vAlign w:val="center"/>
          </w:tcPr>
          <w:p>
            <w:pPr>
              <w:jc w:val="left"/>
            </w:pPr>
            <w:r/>
            <w:r>
              <w:rPr>
                <w:rFonts w:ascii="Arial" w:hAnsi="Arial"/>
                <w:b w:val="0"/>
                <w:sz w:val="17"/>
              </w:rPr>
              <w:t>Mean Time to Respond (MTTR)</w:t>
            </w:r>
          </w:p>
        </w:tc>
        <w:tc>
          <w:tcPr>
            <w:tcW w:type="dxa" w:w="6912"/>
            <w:vAlign w:val="center"/>
          </w:tcPr>
          <w:p>
            <w:pPr>
              <w:jc w:val="left"/>
            </w:pPr>
            <w:r/>
            <w:r>
              <w:rPr>
                <w:rFonts w:ascii="Arial" w:hAnsi="Arial"/>
                <w:b w:val="0"/>
                <w:sz w:val="17"/>
              </w:rPr>
              <w:t>Measures time from confirmed incident to response initiation/management.</w:t>
            </w:r>
          </w:p>
        </w:tc>
      </w:tr>
      <w:tr>
        <w:tc>
          <w:tcPr>
            <w:tcW w:type="dxa" w:w="4032"/>
            <w:vAlign w:val="center"/>
          </w:tcPr>
          <w:p>
            <w:pPr>
              <w:jc w:val="left"/>
            </w:pPr>
            <w:r/>
            <w:r>
              <w:rPr>
                <w:rFonts w:ascii="Arial" w:hAnsi="Arial"/>
                <w:b w:val="0"/>
                <w:sz w:val="17"/>
              </w:rPr>
              <w:t>Mean Time to Contain</w:t>
            </w:r>
          </w:p>
        </w:tc>
        <w:tc>
          <w:tcPr>
            <w:tcW w:type="dxa" w:w="6912"/>
            <w:vAlign w:val="center"/>
          </w:tcPr>
          <w:p>
            <w:pPr>
              <w:jc w:val="left"/>
            </w:pPr>
            <w:r/>
            <w:r>
              <w:rPr>
                <w:rFonts w:ascii="Arial" w:hAnsi="Arial"/>
                <w:b w:val="0"/>
                <w:sz w:val="17"/>
              </w:rPr>
              <w:t>Measures how quickly harmful activity is controlled.</w:t>
            </w:r>
          </w:p>
        </w:tc>
      </w:tr>
      <w:tr>
        <w:tc>
          <w:tcPr>
            <w:tcW w:type="dxa" w:w="4032"/>
            <w:vAlign w:val="center"/>
          </w:tcPr>
          <w:p>
            <w:pPr>
              <w:jc w:val="left"/>
            </w:pPr>
            <w:r/>
            <w:r>
              <w:rPr>
                <w:rFonts w:ascii="Arial" w:hAnsi="Arial"/>
                <w:b w:val="0"/>
                <w:sz w:val="17"/>
              </w:rPr>
              <w:t>Critical asset logging coverage</w:t>
            </w:r>
          </w:p>
        </w:tc>
        <w:tc>
          <w:tcPr>
            <w:tcW w:type="dxa" w:w="6912"/>
            <w:vAlign w:val="center"/>
          </w:tcPr>
          <w:p>
            <w:pPr>
              <w:jc w:val="left"/>
            </w:pPr>
            <w:r/>
            <w:r>
              <w:rPr>
                <w:rFonts w:ascii="Arial" w:hAnsi="Arial"/>
                <w:b w:val="0"/>
                <w:sz w:val="17"/>
              </w:rPr>
              <w:t>Shows whether critical services have sufficient telemetry.</w:t>
            </w:r>
          </w:p>
        </w:tc>
      </w:tr>
      <w:tr>
        <w:tc>
          <w:tcPr>
            <w:tcW w:type="dxa" w:w="4032"/>
            <w:vAlign w:val="center"/>
          </w:tcPr>
          <w:p>
            <w:pPr>
              <w:jc w:val="left"/>
            </w:pPr>
            <w:r/>
            <w:r>
              <w:rPr>
                <w:rFonts w:ascii="Arial" w:hAnsi="Arial"/>
                <w:b w:val="0"/>
                <w:sz w:val="17"/>
              </w:rPr>
              <w:t>Critical vulnerability remediation rate</w:t>
            </w:r>
          </w:p>
        </w:tc>
        <w:tc>
          <w:tcPr>
            <w:tcW w:type="dxa" w:w="6912"/>
            <w:vAlign w:val="center"/>
          </w:tcPr>
          <w:p>
            <w:pPr>
              <w:jc w:val="left"/>
            </w:pPr>
            <w:r/>
            <w:r>
              <w:rPr>
                <w:rFonts w:ascii="Arial" w:hAnsi="Arial"/>
                <w:b w:val="0"/>
                <w:sz w:val="17"/>
              </w:rPr>
              <w:t>Shows whether high-risk weaknesses are addressed within defined targets.</w:t>
            </w:r>
          </w:p>
        </w:tc>
      </w:tr>
      <w:tr>
        <w:tc>
          <w:tcPr>
            <w:tcW w:type="dxa" w:w="4032"/>
            <w:vAlign w:val="center"/>
          </w:tcPr>
          <w:p>
            <w:pPr>
              <w:jc w:val="left"/>
            </w:pPr>
            <w:r/>
            <w:r>
              <w:rPr>
                <w:rFonts w:ascii="Arial" w:hAnsi="Arial"/>
                <w:b w:val="0"/>
                <w:sz w:val="17"/>
              </w:rPr>
              <w:t>Backup restoration success rate</w:t>
            </w:r>
          </w:p>
        </w:tc>
        <w:tc>
          <w:tcPr>
            <w:tcW w:type="dxa" w:w="6912"/>
            <w:vAlign w:val="center"/>
          </w:tcPr>
          <w:p>
            <w:pPr>
              <w:jc w:val="left"/>
            </w:pPr>
            <w:r/>
            <w:r>
              <w:rPr>
                <w:rFonts w:ascii="Arial" w:hAnsi="Arial"/>
                <w:b w:val="0"/>
                <w:sz w:val="17"/>
              </w:rPr>
              <w:t>Measures recovery readiness for critical services.</w:t>
            </w:r>
          </w:p>
        </w:tc>
      </w:tr>
      <w:tr>
        <w:tc>
          <w:tcPr>
            <w:tcW w:type="dxa" w:w="4032"/>
            <w:vAlign w:val="center"/>
          </w:tcPr>
          <w:p>
            <w:pPr>
              <w:jc w:val="left"/>
            </w:pPr>
            <w:r/>
            <w:r>
              <w:rPr>
                <w:rFonts w:ascii="Arial" w:hAnsi="Arial"/>
                <w:b w:val="0"/>
                <w:sz w:val="17"/>
              </w:rPr>
              <w:t>Exercise corrective-action completion</w:t>
            </w:r>
          </w:p>
        </w:tc>
        <w:tc>
          <w:tcPr>
            <w:tcW w:type="dxa" w:w="6912"/>
            <w:vAlign w:val="center"/>
          </w:tcPr>
          <w:p>
            <w:pPr>
              <w:jc w:val="left"/>
            </w:pPr>
            <w:r/>
            <w:r>
              <w:rPr>
                <w:rFonts w:ascii="Arial" w:hAnsi="Arial"/>
                <w:b w:val="0"/>
                <w:sz w:val="17"/>
              </w:rPr>
              <w:t>Shows whether lessons from exercises become actual improvements.</w:t>
            </w:r>
          </w:p>
        </w:tc>
      </w:tr>
      <w:tr>
        <w:tc>
          <w:tcPr>
            <w:tcW w:type="dxa" w:w="4032"/>
            <w:vAlign w:val="center"/>
          </w:tcPr>
          <w:p>
            <w:pPr>
              <w:jc w:val="left"/>
            </w:pPr>
            <w:r/>
            <w:r>
              <w:rPr>
                <w:rFonts w:ascii="Arial" w:hAnsi="Arial"/>
                <w:b w:val="0"/>
                <w:sz w:val="17"/>
              </w:rPr>
              <w:t>Repeat-incident rate</w:t>
            </w:r>
          </w:p>
        </w:tc>
        <w:tc>
          <w:tcPr>
            <w:tcW w:type="dxa" w:w="6912"/>
            <w:vAlign w:val="center"/>
          </w:tcPr>
          <w:p>
            <w:pPr>
              <w:jc w:val="left"/>
            </w:pPr>
            <w:r/>
            <w:r>
              <w:rPr>
                <w:rFonts w:ascii="Arial" w:hAnsi="Arial"/>
                <w:b w:val="0"/>
                <w:sz w:val="17"/>
              </w:rPr>
              <w:t>Indicates whether root causes and control gaps are being addressed.</w:t>
            </w:r>
          </w:p>
        </w:tc>
      </w:tr>
    </w:tbl>
    <w:p/>
    <w:p>
      <w:pPr>
        <w:pStyle w:val="Heading1"/>
      </w:pPr>
      <w:r>
        <w:t>20. 30–60–90 Day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1584"/>
            <w:vAlign w:val="center"/>
            <w:shd w:fill="D9EAF7"/>
          </w:tcPr>
          <w:p>
            <w:pPr>
              <w:jc w:val="left"/>
            </w:pPr>
            <w:r/>
            <w:r>
              <w:rPr>
                <w:rFonts w:ascii="Arial" w:hAnsi="Arial"/>
                <w:b/>
                <w:sz w:val="17"/>
              </w:rPr>
              <w:t>Period</w:t>
            </w:r>
          </w:p>
        </w:tc>
        <w:tc>
          <w:tcPr>
            <w:tcW w:type="dxa" w:w="6048"/>
            <w:vAlign w:val="center"/>
            <w:shd w:fill="D9EAF7"/>
          </w:tcPr>
          <w:p>
            <w:pPr>
              <w:jc w:val="left"/>
            </w:pPr>
            <w:r/>
            <w:r>
              <w:rPr>
                <w:rFonts w:ascii="Arial" w:hAnsi="Arial"/>
                <w:b/>
                <w:sz w:val="17"/>
              </w:rPr>
              <w:t>Priority Actions</w:t>
            </w:r>
          </w:p>
        </w:tc>
        <w:tc>
          <w:tcPr>
            <w:tcW w:type="dxa" w:w="3312"/>
            <w:vAlign w:val="center"/>
            <w:shd w:fill="D9EAF7"/>
          </w:tcPr>
          <w:p>
            <w:pPr>
              <w:jc w:val="left"/>
            </w:pPr>
            <w:r/>
            <w:r>
              <w:rPr>
                <w:rFonts w:ascii="Arial" w:hAnsi="Arial"/>
                <w:b/>
                <w:sz w:val="17"/>
              </w:rPr>
              <w:t>Expected Result</w:t>
            </w:r>
          </w:p>
        </w:tc>
      </w:tr>
      <w:tr>
        <w:tc>
          <w:tcPr>
            <w:tcW w:type="dxa" w:w="1584"/>
            <w:vAlign w:val="center"/>
          </w:tcPr>
          <w:p>
            <w:pPr>
              <w:jc w:val="left"/>
            </w:pPr>
            <w:r/>
            <w:r>
              <w:rPr>
                <w:rFonts w:ascii="Arial" w:hAnsi="Arial"/>
                <w:b w:val="0"/>
                <w:sz w:val="17"/>
              </w:rPr>
              <w:t>0–30 Days</w:t>
            </w:r>
          </w:p>
        </w:tc>
        <w:tc>
          <w:tcPr>
            <w:tcW w:type="dxa" w:w="6048"/>
            <w:vAlign w:val="center"/>
          </w:tcPr>
          <w:p>
            <w:pPr>
              <w:jc w:val="left"/>
            </w:pPr>
            <w:r/>
            <w:r>
              <w:rPr>
                <w:rFonts w:ascii="Arial" w:hAnsi="Arial"/>
                <w:b w:val="0"/>
                <w:sz w:val="17"/>
              </w:rPr>
              <w:t>Confirm assets and owners; define severity; validate contacts; review logging; verify backups; establish core playbooks.</w:t>
            </w:r>
          </w:p>
        </w:tc>
        <w:tc>
          <w:tcPr>
            <w:tcW w:type="dxa" w:w="3312"/>
            <w:vAlign w:val="center"/>
          </w:tcPr>
          <w:p>
            <w:pPr>
              <w:jc w:val="left"/>
            </w:pPr>
            <w:r/>
            <w:r>
              <w:rPr>
                <w:rFonts w:ascii="Arial" w:hAnsi="Arial"/>
                <w:b w:val="0"/>
                <w:sz w:val="17"/>
              </w:rPr>
              <w:t>Basic response readiness and visibility</w:t>
            </w:r>
          </w:p>
        </w:tc>
      </w:tr>
      <w:tr>
        <w:tc>
          <w:tcPr>
            <w:tcW w:type="dxa" w:w="1584"/>
            <w:vAlign w:val="center"/>
          </w:tcPr>
          <w:p>
            <w:pPr>
              <w:jc w:val="left"/>
            </w:pPr>
            <w:r/>
            <w:r>
              <w:rPr>
                <w:rFonts w:ascii="Arial" w:hAnsi="Arial"/>
                <w:b w:val="0"/>
                <w:sz w:val="17"/>
              </w:rPr>
              <w:t>31–60 Days</w:t>
            </w:r>
          </w:p>
        </w:tc>
        <w:tc>
          <w:tcPr>
            <w:tcW w:type="dxa" w:w="6048"/>
            <w:vAlign w:val="center"/>
          </w:tcPr>
          <w:p>
            <w:pPr>
              <w:jc w:val="left"/>
            </w:pPr>
            <w:r/>
            <w:r>
              <w:rPr>
                <w:rFonts w:ascii="Arial" w:hAnsi="Arial"/>
                <w:b w:val="0"/>
                <w:sz w:val="17"/>
              </w:rPr>
              <w:t>Improve detection coverage; connect CTI to vulnerability management; conduct tabletop exercise; review third-party dependencies.</w:t>
            </w:r>
          </w:p>
        </w:tc>
        <w:tc>
          <w:tcPr>
            <w:tcW w:type="dxa" w:w="3312"/>
            <w:vAlign w:val="center"/>
          </w:tcPr>
          <w:p>
            <w:pPr>
              <w:jc w:val="left"/>
            </w:pPr>
            <w:r/>
            <w:r>
              <w:rPr>
                <w:rFonts w:ascii="Arial" w:hAnsi="Arial"/>
                <w:b w:val="0"/>
                <w:sz w:val="17"/>
              </w:rPr>
              <w:t>Better detection, prioritization and coordination</w:t>
            </w:r>
          </w:p>
        </w:tc>
      </w:tr>
      <w:tr>
        <w:tc>
          <w:tcPr>
            <w:tcW w:type="dxa" w:w="1584"/>
            <w:vAlign w:val="center"/>
          </w:tcPr>
          <w:p>
            <w:pPr>
              <w:jc w:val="left"/>
            </w:pPr>
            <w:r/>
            <w:r>
              <w:rPr>
                <w:rFonts w:ascii="Arial" w:hAnsi="Arial"/>
                <w:b w:val="0"/>
                <w:sz w:val="17"/>
              </w:rPr>
              <w:t>61–90 Days</w:t>
            </w:r>
          </w:p>
        </w:tc>
        <w:tc>
          <w:tcPr>
            <w:tcW w:type="dxa" w:w="6048"/>
            <w:vAlign w:val="center"/>
          </w:tcPr>
          <w:p>
            <w:pPr>
              <w:jc w:val="left"/>
            </w:pPr>
            <w:r/>
            <w:r>
              <w:rPr>
                <w:rFonts w:ascii="Arial" w:hAnsi="Arial"/>
                <w:b w:val="0"/>
                <w:sz w:val="17"/>
              </w:rPr>
              <w:t>Run recovery exercise; measure MTTD/MTTR; close high-priority gaps; update playbooks; perform management review.</w:t>
            </w:r>
          </w:p>
        </w:tc>
        <w:tc>
          <w:tcPr>
            <w:tcW w:type="dxa" w:w="3312"/>
            <w:vAlign w:val="center"/>
          </w:tcPr>
          <w:p>
            <w:pPr>
              <w:jc w:val="left"/>
            </w:pPr>
            <w:r/>
            <w:r>
              <w:rPr>
                <w:rFonts w:ascii="Arial" w:hAnsi="Arial"/>
                <w:b w:val="0"/>
                <w:sz w:val="17"/>
              </w:rPr>
              <w:t>Measured and repeatable response capability</w:t>
            </w:r>
          </w:p>
        </w:tc>
      </w:tr>
    </w:tbl>
    <w:p/>
    <w:p>
      <w:pPr>
        <w:pStyle w:val="Heading1"/>
      </w:pPr>
      <w:r>
        <w:t>21. Practical Evaluation Alignment</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D9EAF7"/>
          </w:tcPr>
          <w:p>
            <w:pPr>
              <w:jc w:val="left"/>
            </w:pPr>
            <w:r/>
            <w:r>
              <w:rPr>
                <w:rFonts w:ascii="Arial" w:hAnsi="Arial"/>
                <w:b/>
                <w:sz w:val="17"/>
              </w:rPr>
              <w:t>Likely Evaluation Area</w:t>
            </w:r>
          </w:p>
        </w:tc>
        <w:tc>
          <w:tcPr>
            <w:tcW w:type="dxa" w:w="7200"/>
            <w:vAlign w:val="center"/>
            <w:shd w:fill="D9EAF7"/>
          </w:tcPr>
          <w:p>
            <w:pPr>
              <w:jc w:val="left"/>
            </w:pPr>
            <w:r/>
            <w:r>
              <w:rPr>
                <w:rFonts w:ascii="Arial" w:hAnsi="Arial"/>
                <w:b/>
                <w:sz w:val="17"/>
              </w:rPr>
              <w:t>How This Report Addresses It</w:t>
            </w:r>
          </w:p>
        </w:tc>
      </w:tr>
      <w:tr>
        <w:tc>
          <w:tcPr>
            <w:tcW w:type="dxa" w:w="3168"/>
            <w:vAlign w:val="center"/>
          </w:tcPr>
          <w:p>
            <w:pPr>
              <w:jc w:val="left"/>
            </w:pPr>
            <w:r/>
            <w:r>
              <w:rPr>
                <w:rFonts w:ascii="Arial" w:hAnsi="Arial"/>
                <w:b w:val="0"/>
                <w:sz w:val="17"/>
              </w:rPr>
              <w:t>Depth of analysis</w:t>
            </w:r>
          </w:p>
        </w:tc>
        <w:tc>
          <w:tcPr>
            <w:tcW w:type="dxa" w:w="7200"/>
            <w:vAlign w:val="center"/>
          </w:tcPr>
          <w:p>
            <w:pPr>
              <w:jc w:val="left"/>
            </w:pPr>
            <w:r/>
            <w:r>
              <w:rPr>
                <w:rFonts w:ascii="Arial" w:hAnsi="Arial"/>
                <w:b w:val="0"/>
                <w:sz w:val="17"/>
              </w:rPr>
              <w:t>Includes framework mapping, CTI workflow, threat analysis, vulnerability integration and scenario-based application.</w:t>
            </w:r>
          </w:p>
        </w:tc>
      </w:tr>
      <w:tr>
        <w:tc>
          <w:tcPr>
            <w:tcW w:type="dxa" w:w="3168"/>
            <w:vAlign w:val="center"/>
          </w:tcPr>
          <w:p>
            <w:pPr>
              <w:jc w:val="left"/>
            </w:pPr>
            <w:r/>
            <w:r>
              <w:rPr>
                <w:rFonts w:ascii="Arial" w:hAnsi="Arial"/>
                <w:b w:val="0"/>
                <w:sz w:val="17"/>
              </w:rPr>
              <w:t>Clarity of procedures</w:t>
            </w:r>
          </w:p>
        </w:tc>
        <w:tc>
          <w:tcPr>
            <w:tcW w:type="dxa" w:w="7200"/>
            <w:vAlign w:val="center"/>
          </w:tcPr>
          <w:p>
            <w:pPr>
              <w:jc w:val="left"/>
            </w:pPr>
            <w:r/>
            <w:r>
              <w:rPr>
                <w:rFonts w:ascii="Arial" w:hAnsi="Arial"/>
                <w:b w:val="0"/>
                <w:sz w:val="17"/>
              </w:rPr>
              <w:t>Uses step-by-step detection, containment, eradication and recovery procedures.</w:t>
            </w:r>
          </w:p>
        </w:tc>
      </w:tr>
      <w:tr>
        <w:tc>
          <w:tcPr>
            <w:tcW w:type="dxa" w:w="3168"/>
            <w:vAlign w:val="center"/>
          </w:tcPr>
          <w:p>
            <w:pPr>
              <w:jc w:val="left"/>
            </w:pPr>
            <w:r/>
            <w:r>
              <w:rPr>
                <w:rFonts w:ascii="Arial" w:hAnsi="Arial"/>
                <w:b w:val="0"/>
                <w:sz w:val="17"/>
              </w:rPr>
              <w:t>Effectiveness of response strategies</w:t>
            </w:r>
          </w:p>
        </w:tc>
        <w:tc>
          <w:tcPr>
            <w:tcW w:type="dxa" w:w="7200"/>
            <w:vAlign w:val="center"/>
          </w:tcPr>
          <w:p>
            <w:pPr>
              <w:jc w:val="left"/>
            </w:pPr>
            <w:r/>
            <w:r>
              <w:rPr>
                <w:rFonts w:ascii="Arial" w:hAnsi="Arial"/>
                <w:b w:val="0"/>
                <w:sz w:val="17"/>
              </w:rPr>
              <w:t>Adds severity criteria, decision points, roles, validation checks and metrics.</w:t>
            </w:r>
          </w:p>
        </w:tc>
      </w:tr>
      <w:tr>
        <w:tc>
          <w:tcPr>
            <w:tcW w:type="dxa" w:w="3168"/>
            <w:vAlign w:val="center"/>
          </w:tcPr>
          <w:p>
            <w:pPr>
              <w:jc w:val="left"/>
            </w:pPr>
            <w:r/>
            <w:r>
              <w:rPr>
                <w:rFonts w:ascii="Arial" w:hAnsi="Arial"/>
                <w:b w:val="0"/>
                <w:sz w:val="17"/>
              </w:rPr>
              <w:t>CTI integration</w:t>
            </w:r>
          </w:p>
        </w:tc>
        <w:tc>
          <w:tcPr>
            <w:tcW w:type="dxa" w:w="7200"/>
            <w:vAlign w:val="center"/>
          </w:tcPr>
          <w:p>
            <w:pPr>
              <w:jc w:val="left"/>
            </w:pPr>
            <w:r/>
            <w:r>
              <w:rPr>
                <w:rFonts w:ascii="Arial" w:hAnsi="Arial"/>
                <w:b w:val="0"/>
                <w:sz w:val="17"/>
              </w:rPr>
              <w:t>Connects CTI collection and validation to monitoring, vulnerability tickets and playbooks.</w:t>
            </w:r>
          </w:p>
        </w:tc>
      </w:tr>
      <w:tr>
        <w:tc>
          <w:tcPr>
            <w:tcW w:type="dxa" w:w="3168"/>
            <w:vAlign w:val="center"/>
          </w:tcPr>
          <w:p>
            <w:pPr>
              <w:jc w:val="left"/>
            </w:pPr>
            <w:r/>
            <w:r>
              <w:rPr>
                <w:rFonts w:ascii="Arial" w:hAnsi="Arial"/>
                <w:b w:val="0"/>
                <w:sz w:val="17"/>
              </w:rPr>
              <w:t>Public-service relevance</w:t>
            </w:r>
          </w:p>
        </w:tc>
        <w:tc>
          <w:tcPr>
            <w:tcW w:type="dxa" w:w="7200"/>
            <w:vAlign w:val="center"/>
          </w:tcPr>
          <w:p>
            <w:pPr>
              <w:jc w:val="left"/>
            </w:pPr>
            <w:r/>
            <w:r>
              <w:rPr>
                <w:rFonts w:ascii="Arial" w:hAnsi="Arial"/>
                <w:b w:val="0"/>
                <w:sz w:val="17"/>
              </w:rPr>
              <w:t>Considers citizen impact, service continuity, public-facing applications and third-party dependencies.</w:t>
            </w:r>
          </w:p>
        </w:tc>
      </w:tr>
      <w:tr>
        <w:tc>
          <w:tcPr>
            <w:tcW w:type="dxa" w:w="3168"/>
            <w:vAlign w:val="center"/>
          </w:tcPr>
          <w:p>
            <w:pPr>
              <w:jc w:val="left"/>
            </w:pPr>
            <w:r/>
            <w:r>
              <w:rPr>
                <w:rFonts w:ascii="Arial" w:hAnsi="Arial"/>
                <w:b w:val="0"/>
                <w:sz w:val="17"/>
              </w:rPr>
              <w:t>Evidence and references</w:t>
            </w:r>
          </w:p>
        </w:tc>
        <w:tc>
          <w:tcPr>
            <w:tcW w:type="dxa" w:w="7200"/>
            <w:vAlign w:val="center"/>
          </w:tcPr>
          <w:p>
            <w:pPr>
              <w:jc w:val="left"/>
            </w:pPr>
            <w:r/>
            <w:r>
              <w:rPr>
                <w:rFonts w:ascii="Arial" w:hAnsi="Arial"/>
                <w:b w:val="0"/>
                <w:sz w:val="17"/>
              </w:rPr>
              <w:t>Uses current public guidance from NIST, CISA and CERT-In, with references listed below.</w:t>
            </w:r>
          </w:p>
        </w:tc>
      </w:tr>
    </w:tbl>
    <w:p/>
    <w:p>
      <w:pPr>
        <w:pStyle w:val="Heading1"/>
      </w:pPr>
      <w:r>
        <w:t>22. Limitations and Assumptions</w:t>
      </w:r>
    </w:p>
    <w:p>
      <w:pPr>
        <w:pStyle w:val="ListBullet"/>
        <w:spacing w:after="40"/>
      </w:pPr>
      <w:r>
        <w:t>This is a generic academic and internship report, not a security assessment of a real government system.</w:t>
      </w:r>
    </w:p>
    <w:p>
      <w:pPr>
        <w:pStyle w:val="ListBullet"/>
        <w:spacing w:after="40"/>
      </w:pPr>
      <w:r>
        <w:t>Exact architecture, asset inventory, contracts, legal requirements, reporting obligations and tooling were not provided.</w:t>
      </w:r>
    </w:p>
    <w:p>
      <w:pPr>
        <w:pStyle w:val="ListBullet"/>
        <w:spacing w:after="40"/>
      </w:pPr>
      <w:r>
        <w:t>Specific incident decisions must be made by authorized personnel using the organization's approved policies and current official requirements.</w:t>
      </w:r>
    </w:p>
    <w:p>
      <w:pPr>
        <w:pStyle w:val="ListBullet"/>
        <w:spacing w:after="40"/>
      </w:pPr>
      <w:r>
        <w:t>Threat intelligence should be revalidated for date, source reliability and applicability before operational use.</w:t>
      </w:r>
    </w:p>
    <w:p>
      <w:pPr>
        <w:pStyle w:val="ListBullet"/>
        <w:spacing w:after="40"/>
      </w:pPr>
      <w:r>
        <w:t>Metrics should be baselined before targets are established.</w:t>
      </w:r>
    </w:p>
    <w:p>
      <w:pPr>
        <w:pStyle w:val="Heading1"/>
      </w:pPr>
      <w:r>
        <w:t>23. Conclusion</w:t>
      </w:r>
    </w:p>
    <w:p>
      <w:r>
        <w:t>A reliable incident response capability for e-governance should combine preparation, rapid detection, disciplined containment, evidence-aware eradication, safe recovery and continuous improvement. The plan in this report turns these principles into defined procedures, roles, decision criteria, checklists and measurable outcomes.</w:t>
      </w:r>
    </w:p>
    <w:p>
      <w:r>
        <w:t>Threat intelligence strengthens the response capability when it is connected to internal assets, vulnerabilities, monitoring and service priorities. Rather than treating CTI as a list of threats, the proposed workflow converts relevant intelligence into defensive actions such as detection priorities, vulnerability remediation, escalation decisions and playbook updates. This approach supports confidentiality, integrity, availability, reliability and resilience of citizen-facing digital services.</w:t>
      </w:r>
    </w:p>
    <w:p>
      <w:r>
        <w:t>The framework should be adapted to the actual organization, architecture, service dependencies, contracts, applicable laws, reporting obligations, security tooling and authority structure. Periodic exercises, recovery tests, metrics and lessons learned are essential to keep the plan practical and current.</w:t>
      </w:r>
    </w:p>
    <w:p>
      <w:pPr>
        <w:pStyle w:val="Heading1"/>
      </w:pPr>
      <w:r>
        <w:t>24. References / Public Sources</w:t>
      </w:r>
    </w:p>
    <w:p>
      <w:pPr>
        <w:pStyle w:val="ListBullet"/>
      </w:pPr>
      <w:r>
        <w:t>NIST (2025). SP 800-61 Rev. 3, Incident Response Recommendations and Considerations for Cybersecurity Risk Management: A CSF 2.0 Community Profile.</w:t>
      </w:r>
    </w:p>
    <w:p>
      <w:pPr>
        <w:pStyle w:val="ListBullet"/>
      </w:pPr>
      <w:r>
        <w:t>NIST (2025). NIST Revises SP 800-61: Incident Response Recommendations and Considerations for Cybersecurity Risk Management.</w:t>
      </w:r>
    </w:p>
    <w:p>
      <w:pPr>
        <w:pStyle w:val="ListBullet"/>
      </w:pPr>
      <w:r>
        <w:t>CISA. Cybersecurity Incident and Vulnerability Response Playbooks.</w:t>
      </w:r>
    </w:p>
    <w:p>
      <w:pPr>
        <w:pStyle w:val="ListBullet"/>
      </w:pPr>
      <w:r>
        <w:t>CERT-In, Ministry of Electronics and Information Technology, Government of India. Directions under Section 70B relating to information security practices, prevention, response and reporting of cyber incidents (28 April 2022).</w:t>
      </w:r>
    </w:p>
    <w:p>
      <w:pPr>
        <w:pStyle w:val="ListBullet"/>
      </w:pPr>
      <w:r>
        <w:t>CERT-In. FAQs on Cyber Security Directions of 28.04.2022.</w:t>
      </w:r>
    </w:p>
    <w:p>
      <w:pPr>
        <w:pStyle w:val="ListBullet"/>
      </w:pPr>
      <w:r>
        <w:t>NIST (2026). Ransomware Risk Management: A Cybersecurity Framework 2.0 Community Profile, IR 8374 Rev. 1.</w:t>
      </w:r>
    </w:p>
    <w:p>
      <w:pPr>
        <w:pStyle w:val="Heading2"/>
      </w:pPr>
      <w:r>
        <w:t>Official source links for verification:</w:t>
      </w:r>
    </w:p>
    <w:p>
      <w:pPr>
        <w:pStyle w:val="ListBullet"/>
      </w:pPr>
      <w:r>
        <w:t>https://csrc.nist.gov/pubs/sp/800/61/r3/final</w:t>
      </w:r>
    </w:p>
    <w:p>
      <w:pPr>
        <w:pStyle w:val="ListBullet"/>
      </w:pPr>
      <w:r>
        <w:t>https://www.nist.gov/news-events/news/2025/04/nist-revises-sp-800-61-incident-response-recommendations-and-considerations</w:t>
      </w:r>
    </w:p>
    <w:p>
      <w:pPr>
        <w:pStyle w:val="ListBullet"/>
      </w:pPr>
      <w:r>
        <w:t>https://www.cisa.gov/sites/default/files/2024-08/Federal_Government_Cybersecurity_Incident_and_Vulnerability_Response_Playbooks_508C.pdf</w:t>
      </w:r>
    </w:p>
    <w:p>
      <w:pPr>
        <w:pStyle w:val="ListBullet"/>
      </w:pPr>
      <w:r>
        <w:t>https://www.cert-in.org.in/Directions70B.jsp</w:t>
      </w:r>
    </w:p>
    <w:p>
      <w:pPr>
        <w:pStyle w:val="Heading1"/>
      </w:pPr>
      <w:r>
        <w:t>25. Submission Description (200+ Words)</w:t>
      </w:r>
    </w:p>
    <w:p>
      <w:r>
        <w:t>This report presents an incident response plan and preliminary cyber threat intelligence analysis for a generic e-governance digital services environment. It explains how a public digital service organization can prepare for, detect, analyze, contain, eradicate, and recover from cybersecurity incidents while maintaining service continuity. The plan is aligned with publicly available cybersecurity guidance, including NIST SP 800-61 Revision 3, NIST Cybersecurity Framework 2.0 concepts, CISA incident-response practices, and relevant CERT-In guidance. The report defines practical activities for preparation, alert validation, scope analysis, incident classification, evidence preservation, containment, vulnerability remediation, system recovery, monitoring, communication, and post-incident lessons learned. It assigns responsibilities across incident response leadership, security operations, system and application owners, network or cloud administrators, vulnerability management, management, legal or compliance teams, communications teams, and third-party providers. The cyber threat intelligence section identifies attack vectors relevant to e-governance, including credential compromise, web and API exploitation, ransomware or destructive activity, denial-of-service, supply-chain compromise, data exposure, and exploitation of unpatched vulnerabilities. It explains how intelligence can be collected, validated, enriched, prioritized, operationalized, shared, and reviewed. The report connects threat intelligence with vulnerability management, security monitoring, incident severity, escalation, and response playbooks. A realistic e-governance incident scenario, recovery validation checklist, practical response checklist, performance metrics, and a 30–60–90 day implementation roadmap are included to support practical application. The overall objective is to improve the confidentiality, integrity, availability, reliability, and resilience of citizen-facing digital services through a structured, evidence-based, measurable, and repeatable incident response capability.</w:t>
      </w:r>
    </w:p>
    <w:p>
      <w:pPr>
        <w:pStyle w:val="Heading1"/>
      </w:pPr>
      <w:r>
        <w:t>26. Final Submission Checklist</w:t>
      </w:r>
    </w:p>
    <w:tbl>
      <w:tblPr>
        <w:tblStyle w:val="TableGrid"/>
        <w:tblW w:type="auto" w:w="0"/>
        <w:jc w:val="center"/>
        <w:tblLook w:firstColumn="1" w:firstRow="1" w:lastColumn="0" w:lastRow="0" w:noHBand="0" w:noVBand="1" w:val="04A0"/>
      </w:tblPr>
      <w:tblGrid>
        <w:gridCol w:w="4968"/>
        <w:gridCol w:w="4968"/>
      </w:tblGrid>
      <w:tr>
        <w:tc>
          <w:tcPr>
            <w:tcW w:type="dxa" w:w="6480"/>
            <w:vAlign w:val="center"/>
            <w:shd w:fill="D9EAF7"/>
          </w:tcPr>
          <w:p>
            <w:pPr>
              <w:jc w:val="left"/>
            </w:pPr>
            <w:r/>
            <w:r>
              <w:rPr>
                <w:rFonts w:ascii="Arial" w:hAnsi="Arial"/>
                <w:b/>
                <w:sz w:val="17"/>
              </w:rPr>
              <w:t>Item</w:t>
            </w:r>
          </w:p>
        </w:tc>
        <w:tc>
          <w:tcPr>
            <w:tcW w:type="dxa" w:w="3312"/>
            <w:vAlign w:val="center"/>
            <w:shd w:fill="D9EAF7"/>
          </w:tcPr>
          <w:p>
            <w:pPr>
              <w:jc w:val="left"/>
            </w:pPr>
            <w:r/>
            <w:r>
              <w:rPr>
                <w:rFonts w:ascii="Arial" w:hAnsi="Arial"/>
                <w:b/>
                <w:sz w:val="17"/>
              </w:rPr>
              <w:t>Status</w:t>
            </w:r>
          </w:p>
        </w:tc>
      </w:tr>
      <w:tr>
        <w:tc>
          <w:tcPr>
            <w:tcW w:type="dxa" w:w="6480"/>
            <w:vAlign w:val="center"/>
          </w:tcPr>
          <w:p>
            <w:pPr>
              <w:jc w:val="left"/>
            </w:pPr>
            <w:r/>
            <w:r>
              <w:rPr>
                <w:rFonts w:ascii="Arial" w:hAnsi="Arial"/>
                <w:b w:val="0"/>
                <w:sz w:val="17"/>
              </w:rPr>
              <w:t>Executive summary</w:t>
            </w:r>
          </w:p>
        </w:tc>
        <w:tc>
          <w:tcPr>
            <w:tcW w:type="dxa" w:w="3312"/>
            <w:vAlign w:val="center"/>
          </w:tcPr>
          <w:p>
            <w:pPr>
              <w:jc w:val="left"/>
            </w:pPr>
            <w:r/>
            <w:r>
              <w:rPr>
                <w:rFonts w:ascii="Arial" w:hAnsi="Arial"/>
                <w:b w:val="0"/>
                <w:sz w:val="17"/>
              </w:rPr>
              <w:t>Included</w:t>
            </w:r>
          </w:p>
        </w:tc>
      </w:tr>
      <w:tr>
        <w:tc>
          <w:tcPr>
            <w:tcW w:type="dxa" w:w="6480"/>
            <w:vAlign w:val="center"/>
          </w:tcPr>
          <w:p>
            <w:pPr>
              <w:jc w:val="left"/>
            </w:pPr>
            <w:r/>
            <w:r>
              <w:rPr>
                <w:rFonts w:ascii="Arial" w:hAnsi="Arial"/>
                <w:b w:val="0"/>
                <w:sz w:val="17"/>
              </w:rPr>
              <w:t>Incident response framework</w:t>
            </w:r>
          </w:p>
        </w:tc>
        <w:tc>
          <w:tcPr>
            <w:tcW w:type="dxa" w:w="3312"/>
            <w:vAlign w:val="center"/>
          </w:tcPr>
          <w:p>
            <w:pPr>
              <w:jc w:val="left"/>
            </w:pPr>
            <w:r/>
            <w:r>
              <w:rPr>
                <w:rFonts w:ascii="Arial" w:hAnsi="Arial"/>
                <w:b w:val="0"/>
                <w:sz w:val="17"/>
              </w:rPr>
              <w:t>Included</w:t>
            </w:r>
          </w:p>
        </w:tc>
      </w:tr>
      <w:tr>
        <w:tc>
          <w:tcPr>
            <w:tcW w:type="dxa" w:w="6480"/>
            <w:vAlign w:val="center"/>
          </w:tcPr>
          <w:p>
            <w:pPr>
              <w:jc w:val="left"/>
            </w:pPr>
            <w:r/>
            <w:r>
              <w:rPr>
                <w:rFonts w:ascii="Arial" w:hAnsi="Arial"/>
                <w:b w:val="0"/>
                <w:sz w:val="17"/>
              </w:rPr>
              <w:t>Step-by-step procedures</w:t>
            </w:r>
          </w:p>
        </w:tc>
        <w:tc>
          <w:tcPr>
            <w:tcW w:type="dxa" w:w="3312"/>
            <w:vAlign w:val="center"/>
          </w:tcPr>
          <w:p>
            <w:pPr>
              <w:jc w:val="left"/>
            </w:pPr>
            <w:r/>
            <w:r>
              <w:rPr>
                <w:rFonts w:ascii="Arial" w:hAnsi="Arial"/>
                <w:b w:val="0"/>
                <w:sz w:val="17"/>
              </w:rPr>
              <w:t>Included</w:t>
            </w:r>
          </w:p>
        </w:tc>
      </w:tr>
      <w:tr>
        <w:tc>
          <w:tcPr>
            <w:tcW w:type="dxa" w:w="6480"/>
            <w:vAlign w:val="center"/>
          </w:tcPr>
          <w:p>
            <w:pPr>
              <w:jc w:val="left"/>
            </w:pPr>
            <w:r/>
            <w:r>
              <w:rPr>
                <w:rFonts w:ascii="Arial" w:hAnsi="Arial"/>
                <w:b w:val="0"/>
                <w:sz w:val="17"/>
              </w:rPr>
              <w:t>Roles and responsibilities</w:t>
            </w:r>
          </w:p>
        </w:tc>
        <w:tc>
          <w:tcPr>
            <w:tcW w:type="dxa" w:w="3312"/>
            <w:vAlign w:val="center"/>
          </w:tcPr>
          <w:p>
            <w:pPr>
              <w:jc w:val="left"/>
            </w:pPr>
            <w:r/>
            <w:r>
              <w:rPr>
                <w:rFonts w:ascii="Arial" w:hAnsi="Arial"/>
                <w:b w:val="0"/>
                <w:sz w:val="17"/>
              </w:rPr>
              <w:t>Included</w:t>
            </w:r>
          </w:p>
        </w:tc>
      </w:tr>
      <w:tr>
        <w:tc>
          <w:tcPr>
            <w:tcW w:type="dxa" w:w="6480"/>
            <w:vAlign w:val="center"/>
          </w:tcPr>
          <w:p>
            <w:pPr>
              <w:jc w:val="left"/>
            </w:pPr>
            <w:r/>
            <w:r>
              <w:rPr>
                <w:rFonts w:ascii="Arial" w:hAnsi="Arial"/>
                <w:b w:val="0"/>
                <w:sz w:val="17"/>
              </w:rPr>
              <w:t>CTI analysis</w:t>
            </w:r>
          </w:p>
        </w:tc>
        <w:tc>
          <w:tcPr>
            <w:tcW w:type="dxa" w:w="3312"/>
            <w:vAlign w:val="center"/>
          </w:tcPr>
          <w:p>
            <w:pPr>
              <w:jc w:val="left"/>
            </w:pPr>
            <w:r/>
            <w:r>
              <w:rPr>
                <w:rFonts w:ascii="Arial" w:hAnsi="Arial"/>
                <w:b w:val="0"/>
                <w:sz w:val="17"/>
              </w:rPr>
              <w:t>Included</w:t>
            </w:r>
          </w:p>
        </w:tc>
      </w:tr>
      <w:tr>
        <w:tc>
          <w:tcPr>
            <w:tcW w:type="dxa" w:w="6480"/>
            <w:vAlign w:val="center"/>
          </w:tcPr>
          <w:p>
            <w:pPr>
              <w:jc w:val="left"/>
            </w:pPr>
            <w:r/>
            <w:r>
              <w:rPr>
                <w:rFonts w:ascii="Arial" w:hAnsi="Arial"/>
                <w:b w:val="0"/>
                <w:sz w:val="17"/>
              </w:rPr>
              <w:t>Attack vectors and threat considerations</w:t>
            </w:r>
          </w:p>
        </w:tc>
        <w:tc>
          <w:tcPr>
            <w:tcW w:type="dxa" w:w="3312"/>
            <w:vAlign w:val="center"/>
          </w:tcPr>
          <w:p>
            <w:pPr>
              <w:jc w:val="left"/>
            </w:pPr>
            <w:r/>
            <w:r>
              <w:rPr>
                <w:rFonts w:ascii="Arial" w:hAnsi="Arial"/>
                <w:b w:val="0"/>
                <w:sz w:val="17"/>
              </w:rPr>
              <w:t>Included</w:t>
            </w:r>
          </w:p>
        </w:tc>
      </w:tr>
      <w:tr>
        <w:tc>
          <w:tcPr>
            <w:tcW w:type="dxa" w:w="6480"/>
            <w:vAlign w:val="center"/>
          </w:tcPr>
          <w:p>
            <w:pPr>
              <w:jc w:val="left"/>
            </w:pPr>
            <w:r/>
            <w:r>
              <w:rPr>
                <w:rFonts w:ascii="Arial" w:hAnsi="Arial"/>
                <w:b w:val="0"/>
                <w:sz w:val="17"/>
              </w:rPr>
              <w:t>Detection techniques</w:t>
            </w:r>
          </w:p>
        </w:tc>
        <w:tc>
          <w:tcPr>
            <w:tcW w:type="dxa" w:w="3312"/>
            <w:vAlign w:val="center"/>
          </w:tcPr>
          <w:p>
            <w:pPr>
              <w:jc w:val="left"/>
            </w:pPr>
            <w:r/>
            <w:r>
              <w:rPr>
                <w:rFonts w:ascii="Arial" w:hAnsi="Arial"/>
                <w:b w:val="0"/>
                <w:sz w:val="17"/>
              </w:rPr>
              <w:t>Included</w:t>
            </w:r>
          </w:p>
        </w:tc>
      </w:tr>
      <w:tr>
        <w:tc>
          <w:tcPr>
            <w:tcW w:type="dxa" w:w="6480"/>
            <w:vAlign w:val="center"/>
          </w:tcPr>
          <w:p>
            <w:pPr>
              <w:jc w:val="left"/>
            </w:pPr>
            <w:r/>
            <w:r>
              <w:rPr>
                <w:rFonts w:ascii="Arial" w:hAnsi="Arial"/>
                <w:b w:val="0"/>
                <w:sz w:val="17"/>
              </w:rPr>
              <w:t>Vulnerability management integration</w:t>
            </w:r>
          </w:p>
        </w:tc>
        <w:tc>
          <w:tcPr>
            <w:tcW w:type="dxa" w:w="3312"/>
            <w:vAlign w:val="center"/>
          </w:tcPr>
          <w:p>
            <w:pPr>
              <w:jc w:val="left"/>
            </w:pPr>
            <w:r/>
            <w:r>
              <w:rPr>
                <w:rFonts w:ascii="Arial" w:hAnsi="Arial"/>
                <w:b w:val="0"/>
                <w:sz w:val="17"/>
              </w:rPr>
              <w:t>Included</w:t>
            </w:r>
          </w:p>
        </w:tc>
      </w:tr>
      <w:tr>
        <w:tc>
          <w:tcPr>
            <w:tcW w:type="dxa" w:w="6480"/>
            <w:vAlign w:val="center"/>
          </w:tcPr>
          <w:p>
            <w:pPr>
              <w:jc w:val="left"/>
            </w:pPr>
            <w:r/>
            <w:r>
              <w:rPr>
                <w:rFonts w:ascii="Arial" w:hAnsi="Arial"/>
                <w:b w:val="0"/>
                <w:sz w:val="17"/>
              </w:rPr>
              <w:t>Scenario / practical application</w:t>
            </w:r>
          </w:p>
        </w:tc>
        <w:tc>
          <w:tcPr>
            <w:tcW w:type="dxa" w:w="3312"/>
            <w:vAlign w:val="center"/>
          </w:tcPr>
          <w:p>
            <w:pPr>
              <w:jc w:val="left"/>
            </w:pPr>
            <w:r/>
            <w:r>
              <w:rPr>
                <w:rFonts w:ascii="Arial" w:hAnsi="Arial"/>
                <w:b w:val="0"/>
                <w:sz w:val="17"/>
              </w:rPr>
              <w:t>Included</w:t>
            </w:r>
          </w:p>
        </w:tc>
      </w:tr>
      <w:tr>
        <w:tc>
          <w:tcPr>
            <w:tcW w:type="dxa" w:w="6480"/>
            <w:vAlign w:val="center"/>
          </w:tcPr>
          <w:p>
            <w:pPr>
              <w:jc w:val="left"/>
            </w:pPr>
            <w:r/>
            <w:r>
              <w:rPr>
                <w:rFonts w:ascii="Arial" w:hAnsi="Arial"/>
                <w:b w:val="0"/>
                <w:sz w:val="17"/>
              </w:rPr>
              <w:t>Severity and escalation matrix</w:t>
            </w:r>
          </w:p>
        </w:tc>
        <w:tc>
          <w:tcPr>
            <w:tcW w:type="dxa" w:w="3312"/>
            <w:vAlign w:val="center"/>
          </w:tcPr>
          <w:p>
            <w:pPr>
              <w:jc w:val="left"/>
            </w:pPr>
            <w:r/>
            <w:r>
              <w:rPr>
                <w:rFonts w:ascii="Arial" w:hAnsi="Arial"/>
                <w:b w:val="0"/>
                <w:sz w:val="17"/>
              </w:rPr>
              <w:t>Included</w:t>
            </w:r>
          </w:p>
        </w:tc>
      </w:tr>
      <w:tr>
        <w:tc>
          <w:tcPr>
            <w:tcW w:type="dxa" w:w="6480"/>
            <w:vAlign w:val="center"/>
          </w:tcPr>
          <w:p>
            <w:pPr>
              <w:jc w:val="left"/>
            </w:pPr>
            <w:r/>
            <w:r>
              <w:rPr>
                <w:rFonts w:ascii="Arial" w:hAnsi="Arial"/>
                <w:b w:val="0"/>
                <w:sz w:val="17"/>
              </w:rPr>
              <w:t>Recovery validation</w:t>
            </w:r>
          </w:p>
        </w:tc>
        <w:tc>
          <w:tcPr>
            <w:tcW w:type="dxa" w:w="3312"/>
            <w:vAlign w:val="center"/>
          </w:tcPr>
          <w:p>
            <w:pPr>
              <w:jc w:val="left"/>
            </w:pPr>
            <w:r/>
            <w:r>
              <w:rPr>
                <w:rFonts w:ascii="Arial" w:hAnsi="Arial"/>
                <w:b w:val="0"/>
                <w:sz w:val="17"/>
              </w:rPr>
              <w:t>Included</w:t>
            </w:r>
          </w:p>
        </w:tc>
      </w:tr>
      <w:tr>
        <w:tc>
          <w:tcPr>
            <w:tcW w:type="dxa" w:w="6480"/>
            <w:vAlign w:val="center"/>
          </w:tcPr>
          <w:p>
            <w:pPr>
              <w:jc w:val="left"/>
            </w:pPr>
            <w:r/>
            <w:r>
              <w:rPr>
                <w:rFonts w:ascii="Arial" w:hAnsi="Arial"/>
                <w:b w:val="0"/>
                <w:sz w:val="17"/>
              </w:rPr>
              <w:t>Metrics and implementation roadmap</w:t>
            </w:r>
          </w:p>
        </w:tc>
        <w:tc>
          <w:tcPr>
            <w:tcW w:type="dxa" w:w="3312"/>
            <w:vAlign w:val="center"/>
          </w:tcPr>
          <w:p>
            <w:pPr>
              <w:jc w:val="left"/>
            </w:pPr>
            <w:r/>
            <w:r>
              <w:rPr>
                <w:rFonts w:ascii="Arial" w:hAnsi="Arial"/>
                <w:b w:val="0"/>
                <w:sz w:val="17"/>
              </w:rPr>
              <w:t>Included</w:t>
            </w:r>
          </w:p>
        </w:tc>
      </w:tr>
      <w:tr>
        <w:tc>
          <w:tcPr>
            <w:tcW w:type="dxa" w:w="6480"/>
            <w:vAlign w:val="center"/>
          </w:tcPr>
          <w:p>
            <w:pPr>
              <w:jc w:val="left"/>
            </w:pPr>
            <w:r/>
            <w:r>
              <w:rPr>
                <w:rFonts w:ascii="Arial" w:hAnsi="Arial"/>
                <w:b w:val="0"/>
                <w:sz w:val="17"/>
              </w:rPr>
              <w:t>Public references</w:t>
            </w:r>
          </w:p>
        </w:tc>
        <w:tc>
          <w:tcPr>
            <w:tcW w:type="dxa" w:w="3312"/>
            <w:vAlign w:val="center"/>
          </w:tcPr>
          <w:p>
            <w:pPr>
              <w:jc w:val="left"/>
            </w:pPr>
            <w:r/>
            <w:r>
              <w:rPr>
                <w:rFonts w:ascii="Arial" w:hAnsi="Arial"/>
                <w:b w:val="0"/>
                <w:sz w:val="17"/>
              </w:rPr>
              <w:t>Included</w:t>
            </w:r>
          </w:p>
        </w:tc>
      </w:tr>
      <w:tr>
        <w:tc>
          <w:tcPr>
            <w:tcW w:type="dxa" w:w="6480"/>
            <w:vAlign w:val="center"/>
          </w:tcPr>
          <w:p>
            <w:pPr>
              <w:jc w:val="left"/>
            </w:pPr>
            <w:r/>
            <w:r>
              <w:rPr>
                <w:rFonts w:ascii="Arial" w:hAnsi="Arial"/>
                <w:b w:val="0"/>
                <w:sz w:val="17"/>
              </w:rPr>
              <w:t>200+ word submission description</w:t>
            </w:r>
          </w:p>
        </w:tc>
        <w:tc>
          <w:tcPr>
            <w:tcW w:type="dxa" w:w="3312"/>
            <w:vAlign w:val="center"/>
          </w:tcPr>
          <w:p>
            <w:pPr>
              <w:jc w:val="left"/>
            </w:pPr>
            <w:r/>
            <w:r>
              <w:rPr>
                <w:rFonts w:ascii="Arial" w:hAnsi="Arial"/>
                <w:b w:val="0"/>
                <w:sz w:val="17"/>
              </w:rPr>
              <w:t>Included</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 Incident Response Plan &amp; Cyber Threat Intelligence Analysis | Kajal Saini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