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数据完整性标签（system_data_integrity_tag：项目/用例/执行结果/问题单关键字段 SHA256 摘要，apps/project/tools/integrity.py）；写后信号自动刷新（integrity_signals.py post_save/post_delete）；审计员核查接口与统一审计页核查区块（GET /system/log/integrityCheck，破损即 integrity_broken 告警）；事务回退 atomic；传输保护 deploy/https TLS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审计员登录→统一安全审计→立即核查：48 条受保护数据批量重算比对全部完好；演示绕过应用直改 DB 一条用例→再核查→红色告警定位到该行；从备份恢复后复核完好；正常业务写操作后核查无破损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