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③菜单隔离、④登录验证码（发现普通用户也显示必填验证码，已改为按需显示）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数据完整性标签（system_data_integrity_tag：项目/用例/执行结果/问题单关键字段 SHA256 摘要，apps/project/tools/integrity.py）；写后信号自动刷新（integrity_signals.py post_save/post_delete）；审计员核查接口与统一审计页核查区块（GET /system/log/integrityCheck，破损即 integrity_broken 告警）；事务回退 atomic；传输保护 deploy/https TLS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审计员登录→统一安全审计→立即核查：48 条受保护数据批量重算比对全部完好；演示绕过应用直改 DB 一条用例→再核查→红色告警定位到该行；从备份恢复后复核完好；正常业务写操作后核查无破损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