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全部八项定论：①②⑦证据型（平台已有：唯一UID/生命周期一致/操作绑定主体可溯源）；③三权分立、④特权双因子、⑤HTTPS传输加密、⑥失败锁定告警 已实现；⑧不适用（平台无分布式单点登录场景）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①：新建重名用户被拦截；②：改名/启停 id 不变。③：三特权账号菜单互相隔离（实测403矩阵）；④：特权登录需验证码，错/重放被拒；⑤：https://localhost:8443 TLSv1.3 全程加密；⑥：连错3次锁定、日志出安全告警；⑦：登录/接口/数据三类日志均绑定操作用户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 xml:space="preserve">已实现：新增抗抵赖证据表（主体身份/角色/行为/业务对象/SHA256数据摘要/内容快照/操作IP/时间戳），证据只进不改不删（无任何修改删除接口，仅审计员可查询）；自动挂钩三个关键动作：问题单提交→原发证据、问题单处理确认（改正措施/原因分析/回归结果）→接收证据、用例执行结果提交→原发证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 xml:space="preserve">审计员在 日志监控-抗抵赖证据 页核验证据链；实测：提交问题单→原发证据自动生成，填改正措施→接收证据自动生成，提交用例执行结果→证据自动生成（含SHA256摘要+操作IP+时间戳）；非审计员查证据返回403；PUT/DELETE 证据接口返回405；按业务标识过滤可还原双向证据链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 xml:space="preserve">已实现：项目级自主访问控制——客体（项目）负责人默认全权；负责人通过项目成员授权；移除成员即回收权限且立即生效；项目管理（改信息/删项目/管成员）仅负责人与系统管理员（限制权限传播，防成员自我提权）；非授权用户访问项目及下游数据（轮次/被测件/设计需求/测试项/用例/问题单）一律 403 横向越权拦截；校验 fail-closed（拿不到项目 id 一律拒绝）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 xml:space="preserve">实测闭环：非成员项目列表为空、访问详情/轮次/问题单/提交问题单全部 403；负责人授权（加入成员）后成员立即获得访问权（200）；成员尝试修改项目信息被拒 403；负责人回收（移除成员）后访问立即 403；系统管理员全权。演示路径：项目管理-编辑成员即授权/回收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 xml:space="preserve">已实现：主体敏感标记——用户新增密级许可字段（clearance，复用密级字典：公开/内部/秘密★5年/机密★10年/绝密★20年），仅系统管理员可配置（用户更新接口 IsAdminUser）；客体敏感标记——项目密级字段（原有）；依据标记执行访问控制：项目密级高于用户密级许可时即使项目负责人/成员也拒绝访问（叠加于 DAC 之上的强制层，admin 不受限）；标记配置受控（项目密级仅负责人/admin 可改，7.1.3 覆盖）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 xml:space="preserve">实测：项目=机密(4)、成员许可=秘密(3) → 访问 403；管理员提升成员许可到机密(4) → 恢复 200；许可降回 2 → 403；项目回公开 → 200。用户管理页可直接配置密级许可下拉。演示路径：项目管理改密级 + 用户管理改密级许可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2026-10-15T14:31:59Z</vt:lpwstr>
  </op:property>
</op:Properties>
</file>