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456de2920a74595" /><Relationship Type="http://schemas.openxmlformats.org/package/2006/relationships/metadata/core-properties" Target="/docProps/core.xml" Id="R7fbf2e3f4f104511" /><Relationship Type="http://schemas.openxmlformats.org/officeDocument/2006/relationships/extended-properties" Target="/docProps/app.xml" Id="R7118c29043364a3e" /><Relationship Type="http://schemas.openxmlformats.org/officeDocument/2006/relationships/custom-properties" Target="/docProps/custom.xml" Id="R6cf4c13b40074df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20"/>
        <w:jc w:val="center"/>
      </w:pPr>
      <w:r>
        <w:rPr>
          <w:b/>
          <w:sz w:val="32"/>
        </w:rPr>
        <w:t xml:space="preserve">GB/T 28452-2012 第三级安全测评要求实现追踪表</w:t>
      </w:r>
    </w:p>
    <w:p w14:paraId="00100002" w14:textId="00100003">
      <w:pPr>
        <w:spacing w:after="200"/>
      </w:pPr>
      <w:r>
        <w:rPr>
          <w:color w:val="808080"/>
          <w:sz w:val="18"/>
        </w:rPr>
        <w:t xml:space="preserve">说明：测评中心按标准条款逐条实现并验证，每完成一条由开发填写对应功能路径与简单操作，经确认后状态置为已完成。文档由 AI 维护，随代码同步提交。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w="300" w:type="pct"/>
            <w:shd w:val="clear" w:fill="1F4E79"/>
            <w:vAlign w:val="center"/>
          </w:tcPr>
          <w:p w14:paraId="00100004" w14:textId="00100088"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序号</w:t>
            </w:r>
          </w:p>
        </w:tc>
        <w:tc>
          <w:tcPr>
            <w:tcW w:w="400" w:type="pct"/>
            <w:shd w:val="clear" w:fill="1F4E79"/>
            <w:vAlign w:val="center"/>
          </w:tcPr>
          <w:p w14:paraId="00100006" w14:textId="00100089"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标准条款</w:t>
            </w:r>
          </w:p>
        </w:tc>
        <w:tc>
          <w:tcPr>
            <w:tcW w:w="2200" w:type="pct"/>
            <w:shd w:val="clear" w:fill="1F4E79"/>
            <w:vAlign w:val="center"/>
          </w:tcPr>
          <w:p w14:paraId="00100008" w14:textId="0010008A"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要求是什么</w:t>
            </w:r>
          </w:p>
        </w:tc>
        <w:tc>
          <w:tcPr>
            <w:tcW w:w="850" w:type="pct"/>
            <w:shd w:val="clear" w:fill="1F4E79"/>
            <w:vAlign w:val="center"/>
          </w:tcPr>
          <w:p w14:paraId="0010000A" w14:textId="0010008B"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对应功能路径</w:t>
            </w:r>
          </w:p>
        </w:tc>
        <w:tc>
          <w:tcPr>
            <w:tcW w:w="700" w:type="pct"/>
            <w:shd w:val="clear" w:fill="1F4E79"/>
            <w:vAlign w:val="center"/>
          </w:tcPr>
          <w:p w14:paraId="0010000C" w14:textId="0010008C"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简单操作</w:t>
            </w:r>
          </w:p>
        </w:tc>
        <w:tc>
          <w:tcPr>
            <w:tcW w:w="550" w:type="pct"/>
            <w:shd w:val="clear" w:fill="1F4E79"/>
            <w:vAlign w:val="center"/>
          </w:tcPr>
          <w:p w14:paraId="0010000E" w14:textId="0010008D"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状态</w:t>
            </w:r>
          </w:p>
        </w:tc>
      </w:tr>
      <w:tr>
        <w:trPr/>
        <w:tc>
          <w:tcPr>
            <w:vAlign w:val="center"/>
          </w:tcPr>
          <w:p w14:paraId="00100010" w14:textId="00100011">
            <w:r>
              <w:t xml:space="preserve">1</w:t>
            </w:r>
          </w:p>
        </w:tc>
        <w:tc>
          <w:tcPr>
            <w:vAlign w:val="center"/>
          </w:tcPr>
          <w:p w14:paraId="00100012" w14:textId="00100013">
            <w:r>
              <w:t xml:space="preserve">7.1.1</w:t>
            </w:r>
          </w:p>
        </w:tc>
        <w:tc>
          <w:tcPr>
            <w:vAlign w:val="center"/>
          </w:tcPr>
          <w:p w14:paraId="00100014" w14:textId="00100015">
            <w:r>
              <w:t xml:space="preserve">用户身份鉴别：用户全局唯一UID与全生命周期一致；分级鉴别（特权用户双因子及以上）；鉴别信息掩码隐藏、存储传输加密；鉴别失败自动锁定/告警/终止会话；用户-主体绑定与行为溯源</w:t>
            </w:r>
          </w:p>
        </w:tc>
        <w:tc>
          <w:tcPr>
            <w:vAlign w:val="center"/>
          </w:tcPr>
          <w:p w14:paraId="00100016" w14:textId="00100017">
            <w:r>
              <w:t xml:space="preserve">①②已满足——首页-用户管理页（/dashboard/usermanage）；后端 /api/system/user/*；数据表 user_user（id 主键全局唯一、username 唯一索引）。③三权分立/④特权双因子/⑤传输加密/⑥失败锁定：方案讨论中；⑧单点登录：建议不做</w:t>
            </w:r>
          </w:p>
        </w:tc>
        <w:tc>
          <w:tcPr>
            <w:vAlign w:val="center"/>
          </w:tcPr>
          <w:p w14:paraId="00100018" w14:textId="00100019">
            <w:r>
              <w:t xml:space="preserve">①：用户管理新建用户名已存在的用户→被拦截并提示（后端 UsernameException）；②：编辑用户姓名、启用/禁用账号后用户 id 保持不变（user_user 表 id 可查证）</w:t>
            </w:r>
          </w:p>
        </w:tc>
        <w:tc>
          <w:tcPr>
            <w:vAlign w:val="center"/>
          </w:tcPr>
          <w:p w14:paraId="0010001A" w14:textId="0010001B">
            <w:r>
              <w:t xml:space="preserve">进行中（①②已具备）</w:t>
            </w:r>
          </w:p>
        </w:tc>
      </w:tr>
      <w:tr>
        <w:trPr/>
        <w:tc>
          <w:tcPr>
            <w:vAlign w:val="center"/>
          </w:tcPr>
          <w:p w14:paraId="0010001C" w14:textId="0010001D">
            <w:r>
              <w:t xml:space="preserve">2</w:t>
            </w:r>
          </w:p>
        </w:tc>
        <w:tc>
          <w:tcPr>
            <w:vAlign w:val="center"/>
          </w:tcPr>
          <w:p w14:paraId="0010001E" w14:textId="0010001F">
            <w:r>
              <w:t xml:space="preserve">7.1.2</w:t>
            </w:r>
          </w:p>
        </w:tc>
        <w:tc>
          <w:tcPr>
            <w:vAlign w:val="center"/>
          </w:tcPr>
          <w:p w14:paraId="00100020" w14:textId="00100021">
            <w:r>
              <w:t xml:space="preserve">抗抵赖：数据原发/接收证据自动留存（身份、时间戳、摘要），证据防篡改、可核验，行为不可抵赖</w:t>
            </w:r>
          </w:p>
        </w:tc>
        <w:tc>
          <w:tcPr>
            <w:vAlign w:val="center"/>
          </w:tcPr>
          <w:p w14:paraId="00100022" w14:textId="00100023">
            <w:r>
              <w:t xml:space="preserve">待实现</w:t>
            </w:r>
          </w:p>
        </w:tc>
        <w:tc>
          <w:tcPr>
            <w:vAlign w:val="center"/>
          </w:tcPr>
          <w:p w14:paraId="00100024" w14:textId="00100025">
            <w:r>
              <w:t xml:space="preserve">—</w:t>
            </w:r>
          </w:p>
        </w:tc>
        <w:tc>
          <w:tcPr>
            <w:vAlign w:val="center"/>
          </w:tcPr>
          <w:p w14:paraId="00100026" w14:textId="00100027">
            <w:r>
              <w:t xml:space="preserve">待开始</w:t>
            </w:r>
          </w:p>
        </w:tc>
      </w:tr>
      <w:tr>
        <w:trPr/>
        <w:tc>
          <w:tcPr>
            <w:vAlign w:val="center"/>
          </w:tcPr>
          <w:p w14:paraId="00100028" w14:textId="00100029">
            <w:r>
              <w:t xml:space="preserve">3</w:t>
            </w:r>
          </w:p>
        </w:tc>
        <w:tc>
          <w:tcPr>
            <w:vAlign w:val="center"/>
          </w:tcPr>
          <w:p w14:paraId="0010002A" w14:textId="0010002B">
            <w:r>
              <w:t xml:space="preserve">7.1.3</w:t>
            </w:r>
          </w:p>
        </w:tc>
        <w:tc>
          <w:tcPr>
            <w:vAlign w:val="center"/>
          </w:tcPr>
          <w:p w14:paraId="0010002C" w14:textId="0010002D">
            <w:r>
              <w:t xml:space="preserve">自主访问控制：客体创建者默认全权；授权/传播/回收可控；可限制权限扩散；文件与数据库多粒度管控；拦截越权访问</w:t>
            </w:r>
          </w:p>
        </w:tc>
        <w:tc>
          <w:tcPr>
            <w:vAlign w:val="center"/>
          </w:tcPr>
          <w:p w14:paraId="0010002E" w14:textId="0010002F">
            <w:r>
              <w:t xml:space="preserve">待实现</w:t>
            </w:r>
          </w:p>
        </w:tc>
        <w:tc>
          <w:tcPr>
            <w:vAlign w:val="center"/>
          </w:tcPr>
          <w:p w14:paraId="00100030" w14:textId="00100031">
            <w:r>
              <w:t xml:space="preserve">—</w:t>
            </w:r>
          </w:p>
        </w:tc>
        <w:tc>
          <w:tcPr>
            <w:vAlign w:val="center"/>
          </w:tcPr>
          <w:p w14:paraId="00100032" w14:textId="00100033">
            <w:r>
              <w:t xml:space="preserve">待开始</w:t>
            </w:r>
          </w:p>
        </w:tc>
      </w:tr>
      <w:tr>
        <w:trPr/>
        <w:tc>
          <w:tcPr>
            <w:vAlign w:val="center"/>
          </w:tcPr>
          <w:p w14:paraId="00100034" w14:textId="00100035">
            <w:r>
              <w:t xml:space="preserve">4</w:t>
            </w:r>
          </w:p>
        </w:tc>
        <w:tc>
          <w:tcPr>
            <w:vAlign w:val="center"/>
          </w:tcPr>
          <w:p w14:paraId="00100036" w14:textId="00100037">
            <w:r>
              <w:t xml:space="preserve">7.1.4</w:t>
            </w:r>
          </w:p>
        </w:tc>
        <w:tc>
          <w:tcPr>
            <w:vAlign w:val="center"/>
          </w:tcPr>
          <w:p w14:paraId="00100038" w14:textId="00100039">
            <w:r>
              <w:t xml:space="preserve">标记：主体/客体敏感标记的配置权限管控，标记与主体关联不可篡改，依据标记执行访问控制</w:t>
            </w:r>
          </w:p>
        </w:tc>
        <w:tc>
          <w:tcPr>
            <w:vAlign w:val="center"/>
          </w:tcPr>
          <w:p w14:paraId="0010003A" w14:textId="0010003B">
            <w:r>
              <w:t xml:space="preserve">待实现</w:t>
            </w:r>
          </w:p>
        </w:tc>
        <w:tc>
          <w:tcPr>
            <w:vAlign w:val="center"/>
          </w:tcPr>
          <w:p w14:paraId="0010003C" w14:textId="0010003D">
            <w:r>
              <w:t xml:space="preserve">—</w:t>
            </w:r>
          </w:p>
        </w:tc>
        <w:tc>
          <w:tcPr>
            <w:vAlign w:val="center"/>
          </w:tcPr>
          <w:p w14:paraId="0010003E" w14:textId="0010003F">
            <w:r>
              <w:t xml:space="preserve">待开始</w:t>
            </w:r>
          </w:p>
        </w:tc>
      </w:tr>
      <w:tr>
        <w:trPr/>
        <w:tc>
          <w:tcPr>
            <w:vAlign w:val="center"/>
          </w:tcPr>
          <w:p w14:paraId="00100040" w14:textId="00100041">
            <w:r>
              <w:t xml:space="preserve">5</w:t>
            </w:r>
          </w:p>
        </w:tc>
        <w:tc>
          <w:tcPr>
            <w:vAlign w:val="center"/>
          </w:tcPr>
          <w:p w14:paraId="00100042" w14:textId="00100043">
            <w:r>
              <w:t xml:space="preserve">7.1.5</w:t>
            </w:r>
          </w:p>
        </w:tc>
        <w:tc>
          <w:tcPr>
            <w:vAlign w:val="center"/>
          </w:tcPr>
          <w:p w14:paraId="00100044" w14:textId="00100045">
            <w:r>
              <w:t xml:space="preserve">强制访问控制：多级安全策略，三权分立与最小授权，MAC 范围覆盖主体与客体</w:t>
            </w:r>
          </w:p>
        </w:tc>
        <w:tc>
          <w:tcPr>
            <w:vAlign w:val="center"/>
          </w:tcPr>
          <w:p w14:paraId="00100046" w14:textId="00100047">
            <w:r>
              <w:t xml:space="preserve">待实现</w:t>
            </w:r>
          </w:p>
        </w:tc>
        <w:tc>
          <w:tcPr>
            <w:vAlign w:val="center"/>
          </w:tcPr>
          <w:p w14:paraId="00100048" w14:textId="00100049">
            <w:r>
              <w:t xml:space="preserve">—</w:t>
            </w:r>
          </w:p>
        </w:tc>
        <w:tc>
          <w:tcPr>
            <w:vAlign w:val="center"/>
          </w:tcPr>
          <w:p w14:paraId="0010004A" w14:textId="0010004B">
            <w:r>
              <w:t xml:space="preserve">待开始</w:t>
            </w:r>
          </w:p>
        </w:tc>
      </w:tr>
      <w:tr>
        <w:trPr/>
        <w:tc>
          <w:tcPr>
            <w:vAlign w:val="center"/>
          </w:tcPr>
          <w:p w14:paraId="0010004C" w14:textId="0010004D">
            <w:r>
              <w:t xml:space="preserve">6</w:t>
            </w:r>
          </w:p>
        </w:tc>
        <w:tc>
          <w:tcPr>
            <w:vAlign w:val="center"/>
          </w:tcPr>
          <w:p w14:paraId="0010004E" w14:textId="0010004F">
            <w:r>
              <w:t xml:space="preserve">7.1.6</w:t>
            </w:r>
          </w:p>
        </w:tc>
        <w:tc>
          <w:tcPr>
            <w:vAlign w:val="center"/>
          </w:tcPr>
          <w:p w14:paraId="00100050" w14:textId="00100051">
            <w:r>
              <w:t xml:space="preserve">安全审计：审计记录全覆盖（身份/事件/时间/结果），可查询追溯，超阈值告警，日志防篡改防删除</w:t>
            </w:r>
          </w:p>
        </w:tc>
        <w:tc>
          <w:tcPr>
            <w:vAlign w:val="center"/>
          </w:tcPr>
          <w:p w14:paraId="00100052" w14:textId="00100053">
            <w:r>
              <w:t xml:space="preserve">待实现</w:t>
            </w:r>
          </w:p>
        </w:tc>
        <w:tc>
          <w:tcPr>
            <w:vAlign w:val="center"/>
          </w:tcPr>
          <w:p w14:paraId="00100054" w14:textId="00100055">
            <w:r>
              <w:t xml:space="preserve">—</w:t>
            </w:r>
          </w:p>
        </w:tc>
        <w:tc>
          <w:tcPr>
            <w:vAlign w:val="center"/>
          </w:tcPr>
          <w:p w14:paraId="00100056" w14:textId="00100057">
            <w:r>
              <w:t xml:space="preserve">待开始</w:t>
            </w:r>
          </w:p>
        </w:tc>
      </w:tr>
      <w:tr>
        <w:trPr/>
        <w:tc>
          <w:tcPr>
            <w:vAlign w:val="center"/>
          </w:tcPr>
          <w:p w14:paraId="00100058" w14:textId="00100059">
            <w:r>
              <w:t xml:space="preserve">7</w:t>
            </w:r>
          </w:p>
        </w:tc>
        <w:tc>
          <w:tcPr>
            <w:vAlign w:val="center"/>
          </w:tcPr>
          <w:p w14:paraId="0010005A" w14:textId="0010005B">
            <w:r>
              <w:t xml:space="preserve">7.1.7</w:t>
            </w:r>
          </w:p>
        </w:tc>
        <w:tc>
          <w:tcPr>
            <w:vAlign w:val="center"/>
          </w:tcPr>
          <w:p w14:paraId="0010005C" w14:textId="0010005D">
            <w:r>
              <w:t xml:space="preserve">用户数据完整性保护：公开/一般/敏感数据在存储、传输、处理全流程完整性校验，发现篡改可恢复</w:t>
            </w:r>
          </w:p>
        </w:tc>
        <w:tc>
          <w:tcPr>
            <w:vAlign w:val="center"/>
          </w:tcPr>
          <w:p w14:paraId="0010005E" w14:textId="0010005F">
            <w:r>
              <w:t xml:space="preserve">待实现</w:t>
            </w:r>
          </w:p>
        </w:tc>
        <w:tc>
          <w:tcPr>
            <w:vAlign w:val="center"/>
          </w:tcPr>
          <w:p w14:paraId="00100060" w14:textId="00100061">
            <w:r>
              <w:t xml:space="preserve">—</w:t>
            </w:r>
          </w:p>
        </w:tc>
        <w:tc>
          <w:tcPr>
            <w:vAlign w:val="center"/>
          </w:tcPr>
          <w:p w14:paraId="00100062" w14:textId="00100063">
            <w:r>
              <w:t xml:space="preserve">待开始</w:t>
            </w:r>
          </w:p>
        </w:tc>
      </w:tr>
      <w:tr>
        <w:trPr/>
        <w:tc>
          <w:tcPr>
            <w:vAlign w:val="center"/>
          </w:tcPr>
          <w:p w14:paraId="00100064" w14:textId="00100065">
            <w:r>
              <w:t xml:space="preserve">8</w:t>
            </w:r>
          </w:p>
        </w:tc>
        <w:tc>
          <w:tcPr>
            <w:vAlign w:val="center"/>
          </w:tcPr>
          <w:p w14:paraId="00100066" w14:textId="00100067">
            <w:r>
              <w:t xml:space="preserve">7.1.8</w:t>
            </w:r>
          </w:p>
        </w:tc>
        <w:tc>
          <w:tcPr>
            <w:vAlign w:val="center"/>
          </w:tcPr>
          <w:p w14:paraId="00100068" w14:textId="00100069">
            <w:r>
              <w:t xml:space="preserve">用户数据保密性保护：数据存储、传输、处理、资源释放全流程保密性（加密算法、密钥管理、剩余信息保护）</w:t>
            </w:r>
          </w:p>
        </w:tc>
        <w:tc>
          <w:tcPr>
            <w:vAlign w:val="center"/>
          </w:tcPr>
          <w:p w14:paraId="0010006A" w14:textId="0010006B">
            <w:r>
              <w:t xml:space="preserve">待实现</w:t>
            </w:r>
          </w:p>
        </w:tc>
        <w:tc>
          <w:tcPr>
            <w:vAlign w:val="center"/>
          </w:tcPr>
          <w:p w14:paraId="0010006C" w14:textId="0010006D">
            <w:r>
              <w:t xml:space="preserve">—</w:t>
            </w:r>
          </w:p>
        </w:tc>
        <w:tc>
          <w:tcPr>
            <w:vAlign w:val="center"/>
          </w:tcPr>
          <w:p w14:paraId="0010006E" w14:textId="0010006F">
            <w:r>
              <w:t xml:space="preserve">待开始</w:t>
            </w:r>
          </w:p>
        </w:tc>
      </w:tr>
      <w:tr>
        <w:trPr/>
        <w:tc>
          <w:tcPr>
            <w:vAlign w:val="center"/>
          </w:tcPr>
          <w:p w14:paraId="00100070" w14:textId="00100071">
            <w:r>
              <w:t xml:space="preserve">9</w:t>
            </w:r>
          </w:p>
        </w:tc>
        <w:tc>
          <w:tcPr>
            <w:vAlign w:val="center"/>
          </w:tcPr>
          <w:p w14:paraId="00100072" w14:textId="00100073">
            <w:r>
              <w:t xml:space="preserve">7.1.9</w:t>
            </w:r>
          </w:p>
        </w:tc>
        <w:tc>
          <w:tcPr>
            <w:vAlign w:val="center"/>
          </w:tcPr>
          <w:p w14:paraId="00100074" w14:textId="00100075">
            <w:r>
              <w:t xml:space="preserve">备份与故障恢复：用户自主备份、系统定时增量备份、故障后数据恢复全流程</w:t>
            </w:r>
          </w:p>
        </w:tc>
        <w:tc>
          <w:tcPr>
            <w:vAlign w:val="center"/>
          </w:tcPr>
          <w:p w14:paraId="00100076" w14:textId="00100077">
            <w:r>
              <w:t xml:space="preserve">待实现</w:t>
            </w:r>
          </w:p>
        </w:tc>
        <w:tc>
          <w:tcPr>
            <w:vAlign w:val="center"/>
          </w:tcPr>
          <w:p w14:paraId="00100078" w14:textId="00100079">
            <w:r>
              <w:t xml:space="preserve">—</w:t>
            </w:r>
          </w:p>
        </w:tc>
        <w:tc>
          <w:tcPr>
            <w:vAlign w:val="center"/>
          </w:tcPr>
          <w:p w14:paraId="0010007A" w14:textId="0010007B">
            <w:r>
              <w:t xml:space="preserve">待开始</w:t>
            </w:r>
          </w:p>
        </w:tc>
      </w:tr>
      <w:tr>
        <w:trPr/>
        <w:tc>
          <w:tcPr>
            <w:vAlign w:val="center"/>
          </w:tcPr>
          <w:p w14:paraId="0010007C" w14:textId="0010007D">
            <w:r>
              <w:t xml:space="preserve">10</w:t>
            </w:r>
          </w:p>
        </w:tc>
        <w:tc>
          <w:tcPr>
            <w:vAlign w:val="center"/>
          </w:tcPr>
          <w:p w14:paraId="0010007E" w14:textId="0010007F">
            <w:r>
              <w:t xml:space="preserve">7.1.10</w:t>
            </w:r>
          </w:p>
        </w:tc>
        <w:tc>
          <w:tcPr>
            <w:vAlign w:val="center"/>
          </w:tcPr>
          <w:p w14:paraId="00100080" w14:textId="00100081">
            <w:r>
              <w:t xml:space="preserve">系统安全性检测分析：操作系统、数据库、应用层安全性检测评估（权限配置、漏洞扫描、安全基线核查）</w:t>
            </w:r>
          </w:p>
        </w:tc>
        <w:tc>
          <w:tcPr>
            <w:vAlign w:val="center"/>
          </w:tcPr>
          <w:p w14:paraId="00100082" w14:textId="00100083">
            <w:r>
              <w:t xml:space="preserve">待实现</w:t>
            </w:r>
          </w:p>
        </w:tc>
        <w:tc>
          <w:tcPr>
            <w:vAlign w:val="center"/>
          </w:tcPr>
          <w:p w14:paraId="00100084" w14:textId="00100085">
            <w:r>
              <w:t xml:space="preserve">—</w:t>
            </w:r>
          </w:p>
        </w:tc>
        <w:tc>
          <w:tcPr>
            <w:vAlign w:val="center"/>
          </w:tcPr>
          <w:p w14:paraId="00100086" w14:textId="00100087">
            <w:r>
              <w:t xml:space="preserve">待开始</w:t>
            </w:r>
          </w:p>
        </w:tc>
      </w:tr>
    </w:tbl>
    <w:sectPr>
      <w:footerReference w:type="default" r:id="Rfeceae3d59c74c9c"/>
      <w:pgSz w:w="16838" w:h="11906" w:orient="landscape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8E" w14:textId="0010008F">
    <w:pPr>
      <w:jc w:val="center"/>
    </w:pPr>
    <w:r>
      <w:rPr>
        <w:sz w:val="18"/>
      </w:rPr>
      <w:t xml:space="preserve">GB/T 28452-2012 第三级安全测评要求实现追踪表  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07a93b18fa94cfe" /><Relationship Type="http://schemas.openxmlformats.org/officeDocument/2006/relationships/styles" Target="/word/styles.xml" Id="Rf039cd851d5749d1" /><Relationship Type="http://schemas.openxmlformats.org/officeDocument/2006/relationships/theme" Target="/word/theme/theme1.xml" Id="Rc730b538c3274bdf" /><Relationship Type="http://schemas.openxmlformats.org/officeDocument/2006/relationships/numbering" Target="/word/numbering.xml" Id="Ra24e9888880348f0" /><Relationship Type="http://schemas.openxmlformats.org/officeDocument/2006/relationships/footer" Target="/word/footer1.xml" Id="Rfeceae3d59c74c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2026-10-15T07:15:26Z</dcterms:created>
  <cp:lastModifiedBy>OfficeCLI</cp:lastModifiedBy>
  <dcterms:modified xsi:type="dcterms:W3CDTF">2026-10-15T07:15:26Z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2026-10-15T07:40:49Z</vt:lpwstr>
  </op:property>
</op:Properties>
</file>