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"/>
        <w:gridCol w:w="904"/>
        <w:gridCol w:w="5666"/>
        <w:gridCol w:w="3018"/>
        <w:gridCol w:w="1698"/>
        <w:gridCol w:w="1302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" w:type="pct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400" w:type="pct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2200" w:type="pct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850" w:type="pct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700" w:type="pct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550" w:type="pct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 xml:space="preserve">全部八项定论：①②⑦证据型（平台已有：唯一UID/生命周期一致/操作绑定主体可溯源）；③三权分立、④特权双因子、⑤HTTPS传输加密、⑥失败锁定告警 已实现；⑧不适用（平台无分布式单点登录场景）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 xml:space="preserve">①：新建重名用户被拦截；②：改名/启停 id 不变。③：三特权账号菜单互相隔离（实测403矩阵）；④：特权登录需验证码，错/重放被拒；⑤：https://localhost:8443 TLSv1.3 全程加密；⑥：连错3次锁定、日志出安全告警；⑦：登录/接口/数据三类日志均绑定操作用户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 xml:space="preserve">已实现：新增抗抵赖证据表（主体身份/角色/行为/业务对象/SHA256数据摘要/内容快照/操作IP/时间戳），证据只进不改不删（无任何修改删除接口，仅审计员可查询）；自动挂钩三个关键动作：问题单提交→原发证据、问题单处理确认（改正措施/原因分析/回归结果）→接收证据、用例执行结果提交→原发证据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 xml:space="preserve">审计员在 日志监控-抗抵赖证据 页核验证据链；实测：提交问题单→原发证据自动生成，填改正措施→接收证据自动生成，提交用例执行结果→证据自动生成（含SHA256摘要+操作IP+时间戳）；非审计员查证据返回403；PUT/DELETE 证据接口返回405；按业务标识过滤可还原双向证据链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用户数据完整性保护：公开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一般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敏感数据在存储、传输、处理全流程完整性校验，发现篡改可恢复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6FCB68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B23D02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7F4F4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B671D6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DE082B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9036F3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233539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963C90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4234F88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9AEED4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备份与故障恢复：用户自主备份、系统定时增量备份、故障后数据恢复全流程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6D15A3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87FBEC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4BE5638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A28BA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783619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系统安全性检测分析：操作系统、数据库、应用层安全性检测评估（权限配置、漏洞扫描、安全基线核查）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2026-10-15T13:06:13Z</vt:lpwstr>
  </op:property>
</op:Properties>
</file>