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统一审计日志（system_audit_log：账号/角色/事件类型/内容/IP/UA/时间，仅追加防篡改，utils/audit.py 埋点）；统一安全审计页（/monitor/auditLog，仅审计员：多维筛选+告警高亮+标签统计）；日志保护（三类日志删除须≥30天且仅审计员，全清拒绝并告警）；越权403全局处理器自动告警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审计员登录→日志监控→统一安全审计：按账号/事件类型/IP/时间筛选，只看告警一键切换；尝试全清审计日志被拒（≥30天保留期）；普通用户/管理员访问审计接口403并生成越权告警；错口令5次→锁定告警留痕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数据完整性标签（system_data_integrity_tag：项目/用例/执行结果/问题单关键字段 SHA256 摘要，apps/project/tools/integrity.py）；写后信号自动刷新（integrity_signals.py post_save/post_delete）；审计员核查接口与统一审计页核查区块（GET /system/log/integrityCheck，破损即 integrity_broken 告警）；事务回退 atomic；传输保护 deploy/https TLS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审计员登录→统一安全审计→立即核查：48 条受保护数据批量重算比对全部完好；演示绕过应用直改 DB 一条用例→再核查→红色告警定位到该行；从备份恢复后复核完好；正常业务写操作后核查无破损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