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①审计员在统一安全审计页点「立即核查」，48 条受保护数据批量重算比对，全部完好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写后自动刷新：integrity_signals.py 的 post_save/post_delete 保证正常业务写入后标签与数据一致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②正常新增/修改用例、问题单后再次核查，无破损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破损识别与告警：核查发现摘要不一致即判定破损，返回定位信息并记 integrity_broken 告警事件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③绕过应用直接改数据库里的一条用例，再次核查 → 红色告警并定位到该行数据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破损恢复：依赖数据库备份恢复（应用层无法凭空重建被篡改内容，如实标注）；恢复后复核标签一致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④从数据库备份恢复被改数据后重新核查，恢复完好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业务处理回退：关键写操作包在 @transaction.atomic 内，异常时整体回滚，不留残缺数据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⑤构造中途失败的业务操作（如批量建用例时数据不合法），核对无半成品数据落库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待实现：一般/重要业务数据落库加密存储（方案待定：敏感字段加密 vs 整库加密）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待实现：网络传输密文（可由 deploy/https 的 TLS 1.2/1.3 承担，需在部署层落实并核验）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待实现：业务处理剩余信息保护（内存缓冲区、临时缓存、临时文件的残留数据清理）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待实现：动态介质安全（会话断开、页面关闭、系统退出后的残留信息清除）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待实现：用户自主选择性备份与精准恢复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待实现：系统定时自动增量备份（仅同步新增/变更数据，无全量重复、无遗漏）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待实现：故障场景下的数据恢复（数据损坏/丢失后快速恢复业务）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待实现：操作系统安全性检测分析（文件许可、网络服务、账户设置、入侵迹象等）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待实现：数据库管理系统安全性检测分析（鉴别、授权、访问控制、完整性配置的脆弱性扫描）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待实现：网络系统安全性检测分析（防火墙等网络设备与链路漏洞扫描）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待实现：应用系统安全性检测分析（应用层鉴别、授权、访问控制、完整性相关的脆弱性扫描）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待实现：硬件系统安全性检测分析（电磁泄漏发射与电磁干扰等）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