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安全测评要求手动验证指引</w:t>
      </w:r>
    </w:p>
    <w:p>
      <w:pPr>
        <w:jc w:val="center"/>
      </w:pPr>
      <w:r>
        <w:rPr>
          <w:sz w:val="22"/>
        </w:rPr>
        <w:t>GB/T 28452-2012《应用软件系统安全测评规范》第三级 7.1.1 ~ 7.1.10</w:t>
      </w:r>
    </w:p>
    <w:p>
      <w:pPr>
        <w:jc w:val="center"/>
      </w:pPr>
      <w:r>
        <w:rPr>
          <w:color w:val="666666"/>
          <w:sz w:val="18"/>
        </w:rPr>
        <w:t>本文档由《安全测评要求实现追踪表》自动派生，验证步骤与追踪表逐条一致。</w:t>
      </w:r>
    </w:p>
    <w:p>
      <w:pPr>
        <w:pStyle w:val="Heading1"/>
      </w:pPr>
      <w:r>
        <w:t>一、环境准备</w:t>
      </w:r>
    </w:p>
    <w:p>
      <w:r>
        <w:t>1. 启动 MySQL（packagesInitialize/mysql-8.4.3-winx64/bin 下 ./mysqld.exe --console --port=3306）</w:t>
      </w:r>
    </w:p>
    <w:p>
      <w:r>
        <w:t>2. 启动 Redis（packagesInitialize/redis 下 ./redis-server.exe --port 6379）</w:t>
      </w:r>
    </w:p>
    <w:p>
      <w:r>
        <w:t>3. 启动后端（项目根目录 uv run python manage.py runserver 127.0.0.1:8000）</w:t>
      </w:r>
    </w:p>
    <w:p>
      <w:r>
        <w:t>4. 启动前端（web/cdTMP 下 npm run dev，端口 3888）</w:t>
      </w:r>
    </w:p>
    <w:p>
      <w:r>
        <w:t>5. 浏览器打开 http://localhost:3888</w:t>
      </w:r>
    </w:p>
    <w:p>
      <w:pPr>
        <w:pStyle w:val="Heading1"/>
      </w:pPr>
      <w:r>
        <w:t>二、验证账号</w:t>
      </w:r>
    </w:p>
    <w:p>
      <w:r>
        <w:t>演示账号密码统一为 SrsDemo#2026；特权账号（admin / secadmin / auditadmin）登录时需输入图形验证码；superAdmin 为内置超级账号，密码由管理员保管。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superAdmin</w:t>
            </w:r>
          </w:p>
        </w:tc>
        <w:tc>
          <w:tcPr>
            <w:tcW w:type="dxa" w:w="2880"/>
          </w:tcPr>
          <w:p>
            <w:r>
              <w:t>超级管理员（内置）</w:t>
            </w:r>
          </w:p>
        </w:tc>
        <w:tc>
          <w:tcPr>
            <w:tcW w:type="dxa" w:w="2880"/>
          </w:tcPr>
          <w:p>
            <w:r>
              <w:t>全部功能；用于部署与应急，密码不公开，不在验证用例中使用</w:t>
            </w:r>
          </w:p>
        </w:tc>
      </w:tr>
      <w:tr>
        <w:tc>
          <w:tcPr>
            <w:tcW w:type="dxa" w:w="2880"/>
          </w:tcPr>
          <w:p>
            <w:r>
              <w:t>srs_a</w:t>
            </w:r>
          </w:p>
        </w:tc>
        <w:tc>
          <w:tcPr>
            <w:tcW w:type="dxa" w:w="2880"/>
          </w:tcPr>
          <w:p>
            <w:r>
              <w:t>系统管理员 admin</w:t>
            </w:r>
          </w:p>
        </w:tc>
        <w:tc>
          <w:tcPr>
            <w:tcW w:type="dxa" w:w="2880"/>
          </w:tcPr>
          <w:p>
            <w:r>
              <w:t>账号管理、项目与业务数据；不能查审计日志、不能配安全策略</w:t>
            </w:r>
          </w:p>
        </w:tc>
      </w:tr>
      <w:tr>
        <w:tc>
          <w:tcPr>
            <w:tcW w:type="dxa" w:w="2880"/>
          </w:tcPr>
          <w:p>
            <w:r>
              <w:t>srs_b</w:t>
            </w:r>
          </w:p>
        </w:tc>
        <w:tc>
          <w:tcPr>
            <w:tcW w:type="dxa" w:w="2880"/>
          </w:tcPr>
          <w:p>
            <w:r>
              <w:t>系统审计员 auditadmin</w:t>
            </w:r>
          </w:p>
        </w:tc>
        <w:tc>
          <w:tcPr>
            <w:tcW w:type="dxa" w:w="2880"/>
          </w:tcPr>
          <w:p>
            <w:r>
              <w:t>日志监控、抗抵赖证据、统一安全审计（日志监控菜单只在此账号可见）</w:t>
            </w:r>
          </w:p>
        </w:tc>
      </w:tr>
      <w:tr>
        <w:tc>
          <w:tcPr>
            <w:tcW w:type="dxa" w:w="2880"/>
          </w:tcPr>
          <w:p>
            <w:r>
              <w:t>srs_c</w:t>
            </w:r>
          </w:p>
        </w:tc>
        <w:tc>
          <w:tcPr>
            <w:tcW w:type="dxa" w:w="2880"/>
          </w:tcPr>
          <w:p>
            <w:r>
              <w:t>系统安全员 secadmin</w:t>
            </w:r>
          </w:p>
        </w:tc>
        <w:tc>
          <w:tcPr>
            <w:tcW w:type="dxa" w:w="2880"/>
          </w:tcPr>
          <w:p>
            <w:r>
              <w:t>安全策略、敏感标记管理、数据保密性、安全性检测分析</w:t>
            </w:r>
          </w:p>
        </w:tc>
      </w:tr>
      <w:tr>
        <w:tc>
          <w:tcPr>
            <w:tcW w:type="dxa" w:w="2880"/>
          </w:tcPr>
          <w:p>
            <w:r>
              <w:t>srs_m / srs_o</w:t>
            </w:r>
          </w:p>
        </w:tc>
        <w:tc>
          <w:tcPr>
            <w:tcW w:type="dxa" w:w="2880"/>
          </w:tcPr>
          <w:p>
            <w:r>
              <w:t>普通用户 user</w:t>
            </w:r>
          </w:p>
        </w:tc>
        <w:tc>
          <w:tcPr>
            <w:tcW w:type="dxa" w:w="2880"/>
          </w:tcPr>
          <w:p>
            <w:r>
              <w:t>仅能看到自己参与的项目；用于越权与普通业务验证</w:t>
            </w:r>
          </w:p>
        </w:tc>
      </w:tr>
    </w:tbl>
    <w:p/>
    <w:p>
      <w:r>
        <w:rPr>
          <w:color w:val="993300"/>
          <w:sz w:val="19"/>
        </w:rPr>
        <w:t>提示：测试项目为「R2601 标校软件测试」（项目 id=42）。入口为「测试管理 → 项目管理 → 该行「工作区」」。</w:t>
      </w:r>
    </w:p>
    <w:p>
      <w:pPr>
        <w:pStyle w:val="Heading1"/>
      </w:pPr>
      <w:r>
        <w:t>三、逐条验证</w:t>
      </w:r>
    </w:p>
    <w:p>
      <w:pPr>
        <w:pStyle w:val="Heading2"/>
      </w:pPr>
      <w:r>
        <w:t>7.1.1  用户身份鉴别：用户全局唯一UID与全生命周期一致；分级鉴别（特权用户双因子及以上）；鉴别信息掩码隐藏、存储传输加密；鉴别失败自动锁定/告警/终止会话；用户-主体绑定与行为溯源</w:t>
      </w:r>
    </w:p>
    <w:p>
      <w:r>
        <w:rPr>
          <w:color w:val="666666"/>
          <w:sz w:val="18"/>
        </w:rPr>
        <w:t>当前状态：已完成（2026-10-15）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用户全局唯一 UID：账号主键 id 即唯一用户标识，username 加唯一约束，创建重名账号被服务端拦截（apps/user/controllers.py create_user）</w:t>
      </w:r>
    </w:p>
    <w:p>
      <w:pPr>
        <w:spacing w:after="80"/>
      </w:pPr>
      <w:r>
        <w:rPr>
          <w:b/>
        </w:rPr>
        <w:t>验证步骤：</w:t>
      </w:r>
      <w:r>
        <w:t>①新建普通/管理员/安全员/审计员四类账号，逐一核对 UID 全局唯一、无重复无空值；再提交已存在的用户名，被系统拦截并提示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全生命周期标识一致：更新接口只写业务字段，UID 不参与任何更新；账号注销后 id 不复用（apps/user/controllers.py update_user / delete_user）</w:t>
      </w:r>
    </w:p>
    <w:p>
      <w:pPr>
        <w:spacing w:after="80"/>
      </w:pPr>
      <w:r>
        <w:rPr>
          <w:b/>
        </w:rPr>
        <w:t>验证步骤：</w:t>
      </w:r>
      <w:r>
        <w:t>②对同一账号执行改名、启用/停用操作，前后核对 id 保持不变；注销后重建同名账号，新 id 与旧 id 不同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分级鉴别：utils/permissions.py 按 role 划分 IsSystemAdmin / IsSecurityAdmin / IsAuditor / 普通用户四级，接口级权限校验，无鉴别降级</w:t>
      </w:r>
    </w:p>
    <w:p>
      <w:pPr>
        <w:spacing w:after="80"/>
      </w:pPr>
      <w:r>
        <w:rPr>
          <w:b/>
        </w:rPr>
        <w:t>验证步骤：</w:t>
      </w:r>
      <w:r>
        <w:t>③分别以系统管理员、安全员、审计员登录，核对三个角色的菜单与接口互相隔离（实测 4×4 权限矩阵，越权一律 403）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特权用户双因子及以上：特权角色（管理员/安全员/审计员）登录强制口令 + 图形验证码，校验在 obtain_token 内完成，普通用户不受影响</w:t>
      </w:r>
    </w:p>
    <w:p>
      <w:pPr>
        <w:spacing w:after="80"/>
      </w:pPr>
      <w:r>
        <w:rPr>
          <w:b/>
        </w:rPr>
        <w:t>验证步骤：</w:t>
      </w:r>
      <w:r>
        <w:t>④用特权账号登录，必须输入图形验证码；验证码错误或重复使用（一次性、5 分钟有效）均被拒绝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鉴别信息保护：口令输入框掩码不回显；口令存储走 Django PBKDF2 哈希（set_password，不落明文）；传输由 deploy/https 承担（TLS 1.2/1.3）</w:t>
      </w:r>
    </w:p>
    <w:p>
      <w:pPr>
        <w:spacing w:after="80"/>
      </w:pPr>
      <w:r>
        <w:rPr>
          <w:b/>
        </w:rPr>
        <w:t>验证步骤：</w:t>
      </w:r>
      <w:r>
        <w:t>⑤登录页口令框为掩码输入；以 https://localhost:8443 访问，握手协商 TLSv1.3，全程加密无明文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6</w:t>
      </w:r>
    </w:p>
    <w:p>
      <w:pPr>
        <w:spacing w:after="80"/>
      </w:pPr>
      <w:r>
        <w:rPr>
          <w:b/>
        </w:rPr>
        <w:t>实现位置：</w:t>
      </w:r>
      <w:r>
        <w:t>鉴别失败处置：SecurityPolicy 单例策略（失败阈值 / 统计窗口 / 锁定时长，安全员在安全策略页配置）+ Redis 计数 + 登录失败锁定与安全告警留痕</w:t>
      </w:r>
    </w:p>
    <w:p>
      <w:pPr>
        <w:spacing w:after="80"/>
      </w:pPr>
      <w:r>
        <w:rPr>
          <w:b/>
        </w:rPr>
        <w:t>验证步骤：</w:t>
      </w:r>
      <w:r>
        <w:t>⑥在策略阈值内连续输错口令，达到阈值账号被锁定；统一安全审计页出现登录失败告警记录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7</w:t>
      </w:r>
    </w:p>
    <w:p>
      <w:pPr>
        <w:spacing w:after="80"/>
      </w:pPr>
      <w:r>
        <w:rPr>
          <w:b/>
        </w:rPr>
        <w:t>实现位置：</w:t>
      </w:r>
      <w:r>
        <w:t>用户-主体绑定与行为溯源：登录日志、接口操作日志、数据操作日志三类均记录操作用户；统一审计日志（system_audit_log）记录主体账号 + 角色 + IP</w:t>
      </w:r>
    </w:p>
    <w:p>
      <w:pPr>
        <w:spacing w:after="80"/>
      </w:pPr>
      <w:r>
        <w:rPr>
          <w:b/>
        </w:rPr>
        <w:t>验证步骤：</w:t>
      </w:r>
      <w:r>
        <w:t>⑦以普通用户登录后执行业务操作，核对登录/接口/数据三类日志均绑定该操作用户；切换账号后新操作归属新主体，无跨账号串号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8</w:t>
      </w:r>
    </w:p>
    <w:p>
      <w:pPr>
        <w:spacing w:after="80"/>
      </w:pPr>
      <w:r>
        <w:rPr>
          <w:b/>
        </w:rPr>
        <w:t>实现位置：</w:t>
      </w:r>
      <w:r>
        <w:t>分布式单点登录：不适用 —— 平台为单机部署，无分布式节点与单点门户，无单点登录安全降级场景</w:t>
      </w:r>
    </w:p>
    <w:p>
      <w:pPr>
        <w:spacing w:after="80"/>
      </w:pPr>
      <w:r>
        <w:rPr>
          <w:b/>
        </w:rPr>
        <w:t>验证步骤：</w:t>
      </w:r>
      <w:r>
        <w:t>⑧不适用（本平台无单点登录功能）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pStyle w:val="Heading2"/>
      </w:pPr>
      <w:r>
        <w:t>7.1.2  抗抵赖：数据原发/接收证据自动留存（身份、时间戳、摘要），证据防篡改、可核验，行为不可抵赖</w:t>
      </w:r>
    </w:p>
    <w:p>
      <w:r>
        <w:rPr>
          <w:color w:val="666666"/>
          <w:sz w:val="18"/>
        </w:rPr>
        <w:t>当前状态：已完成（2026-10-15）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原发证据自动留存：提交问题单、提交用例执行结果时，服务端自动生成原发证据（NonrepudiationEvidence.record()，含主体账号/角色/行为/业务对象/SHA256 数据摘要/内容快照/操作 IP/时间戳）</w:t>
      </w:r>
    </w:p>
    <w:p>
      <w:pPr>
        <w:spacing w:after="80"/>
      </w:pPr>
      <w:r>
        <w:rPr>
          <w:b/>
        </w:rPr>
        <w:t>验证步骤：</w:t>
      </w:r>
      <w:r>
        <w:t>①用普通账号提交一个问题单、再提交一条用例执行结果，然后由审计员在「日志监控-抗抵赖证据」页核对：两条原发证据已生成且字段齐全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接收证据自动留存：问题单处理确认（填改正措施/原因分析/回归结果）时自动生成接收证据，与同业务标识的原发证据构成双向证据链</w:t>
      </w:r>
    </w:p>
    <w:p>
      <w:pPr>
        <w:spacing w:after="80"/>
      </w:pPr>
      <w:r>
        <w:rPr>
          <w:b/>
        </w:rPr>
        <w:t>验证步骤：</w:t>
      </w:r>
      <w:r>
        <w:t>②由提出方确认问题单处理结果并填写改正措施、回归结果，再核对该问题单已生成对应的接收证据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证据只进不改不删：证据表只提供查询，无修改/删除接口；查询限审计员（utils/permissions.py IsAuditor），普通用户与系统管理员访问均被拒</w:t>
      </w:r>
    </w:p>
    <w:p>
      <w:pPr>
        <w:spacing w:after="80"/>
      </w:pPr>
      <w:r>
        <w:rPr>
          <w:b/>
        </w:rPr>
        <w:t>验证步骤：</w:t>
      </w:r>
      <w:r>
        <w:t>③用非审计员账号访问证据查询接口返回 403；对证据接口发 PUT/DELETE 返回 405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证据可核验：审计员核验页支持按业务标识过滤，可还原「原发→接收」完整链路；SHA256 摘要可逐条比对内容未被改动</w:t>
      </w:r>
    </w:p>
    <w:p>
      <w:pPr>
        <w:spacing w:after="80"/>
      </w:pPr>
      <w:r>
        <w:rPr>
          <w:b/>
        </w:rPr>
        <w:t>验证步骤：</w:t>
      </w:r>
      <w:r>
        <w:t>④审计员在抗抵赖证据页按业务标识（问题单/用例 id）过滤，核对同一业务的原发与接收两条证据，摘要、操作 IP、时间戳一致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证据唯一性与完整性：每次提交/确认各生成一条独立证据记录，不覆盖、不合并，历史证据不受后续操作影响</w:t>
      </w:r>
    </w:p>
    <w:p>
      <w:pPr>
        <w:spacing w:after="80"/>
      </w:pPr>
      <w:r>
        <w:rPr>
          <w:b/>
        </w:rPr>
        <w:t>验证步骤：</w:t>
      </w:r>
      <w:r>
        <w:t>⑤对同一问题单多次修改保存，核对每次确认动作各生成一条独立证据，条数递增、旧证据内容不变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pStyle w:val="Heading2"/>
      </w:pPr>
      <w:r>
        <w:t>7.1.3  自主访问控制：客体创建者默认全权；授权/传播/回收可控；可限制权限扩散；文件与数据库多粒度管控；拦截越权访问</w:t>
      </w:r>
    </w:p>
    <w:p>
      <w:r>
        <w:rPr>
          <w:color w:val="666666"/>
          <w:sz w:val="18"/>
        </w:rPr>
        <w:t>当前状态：已完成（2026-10-15）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客体创建者默认全权：项目创建者即负责人（Project.duty_person），默认拥有该项目全部管理权（改信息/删项目/管成员）</w:t>
      </w:r>
    </w:p>
    <w:p>
      <w:pPr>
        <w:spacing w:after="80"/>
      </w:pPr>
      <w:r>
        <w:rPr>
          <w:b/>
        </w:rPr>
        <w:t>验证步骤：</w:t>
      </w:r>
      <w:r>
        <w:t>①新建项目后以创建者身份编辑项目信息、增删成员、删除项目，均成功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授权：负责人通过项目成员（Project.member）授权，被授权成员获得该项目及下游数据（轮次/被测件/设计需求/测试项/用例/问题单）的访问权</w:t>
      </w:r>
    </w:p>
    <w:p>
      <w:pPr>
        <w:spacing w:after="80"/>
      </w:pPr>
      <w:r>
        <w:rPr>
          <w:b/>
        </w:rPr>
        <w:t>验证步骤：</w:t>
      </w:r>
      <w:r>
        <w:t>②负责人把一个用户加入项目成员，该用户随即能在项目列表看到并进入该项目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权限传播限制：项目管理（改信息/删项目/管成员）仅负责人与系统管理员可操作，成员不能为自己或他人扩权（apps/project/tools/access_control.py）</w:t>
      </w:r>
    </w:p>
    <w:p>
      <w:pPr>
        <w:spacing w:after="80"/>
      </w:pPr>
      <w:r>
        <w:rPr>
          <w:b/>
        </w:rPr>
        <w:t>验证步骤：</w:t>
      </w:r>
      <w:r>
        <w:t>③以成员身份尝试修改项目信息、增删成员，均返回 403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权限回收：负责人移除成员即回收权限，校验实时生效（每次请求查库判定，无缓存）</w:t>
      </w:r>
    </w:p>
    <w:p>
      <w:pPr>
        <w:spacing w:after="80"/>
      </w:pPr>
      <w:r>
        <w:rPr>
          <w:b/>
        </w:rPr>
        <w:t>验证步骤：</w:t>
      </w:r>
      <w:r>
        <w:t>④负责人移除某成员后，该成员再次访问项目详情/轮次/问题单，立即返回 403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越权访问拦截：约 40 个路由收敛到 check_project_access / check_project_access_by_id；校验 fail-closed（拿不到项目 id 一律拒绝）；越权 403 统一进审计告警</w:t>
      </w:r>
    </w:p>
    <w:p>
      <w:pPr>
        <w:spacing w:after="80"/>
      </w:pPr>
      <w:r>
        <w:rPr>
          <w:b/>
        </w:rPr>
        <w:t>验证步骤：</w:t>
      </w:r>
      <w:r>
        <w:t>⑤以非成员账号访问项目详情、轮次、用例、问题单提交等接口，全部 403，且统一安全审计页出现越权告警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6</w:t>
      </w:r>
    </w:p>
    <w:p>
      <w:pPr>
        <w:spacing w:after="80"/>
      </w:pPr>
      <w:r>
        <w:rPr>
          <w:b/>
        </w:rPr>
        <w:t>实现位置：</w:t>
      </w:r>
      <w:r>
        <w:t>多粒度权限管控（文件级/数据库级）：不适用 —— 平台为应用层统一鉴权，文件与数据库粒度的权限由部署环境（操作系统文件权限、MySQL 账号权限）承担，应用层不直接暴露文件与数据库入口</w:t>
      </w:r>
    </w:p>
    <w:p>
      <w:pPr>
        <w:spacing w:after="80"/>
      </w:pPr>
      <w:r>
        <w:rPr>
          <w:b/>
        </w:rPr>
        <w:t>验证步骤：</w:t>
      </w:r>
      <w:r>
        <w:t>⑥不适用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spacing w:before="160" w:after="40"/>
      </w:pPr>
      <w:r>
        <w:rPr>
          <w:b/>
          <w:color w:val="1F4E79"/>
          <w:sz w:val="21"/>
        </w:rPr>
        <w:t>子要求 7</w:t>
      </w:r>
    </w:p>
    <w:p>
      <w:pPr>
        <w:spacing w:after="80"/>
      </w:pPr>
      <w:r>
        <w:rPr>
          <w:b/>
        </w:rPr>
        <w:t>实现位置：</w:t>
      </w:r>
      <w:r>
        <w:t>分布式与网络场景权限统一：不适用 —— 平台单机部署，无多节点/跨网段实例，不存在节点间权限不一致场景</w:t>
      </w:r>
    </w:p>
    <w:p>
      <w:pPr>
        <w:spacing w:after="80"/>
      </w:pPr>
      <w:r>
        <w:rPr>
          <w:b/>
        </w:rPr>
        <w:t>验证步骤：</w:t>
      </w:r>
      <w:r>
        <w:t>⑦不适用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pStyle w:val="Heading2"/>
      </w:pPr>
      <w:r>
        <w:t>7.1.4  标记：主体/客体敏感标记的配置权限管控，标记与主体关联不可篡改，依据标记执行访问控制</w:t>
      </w:r>
    </w:p>
    <w:p>
      <w:r>
        <w:rPr>
          <w:color w:val="666666"/>
          <w:sz w:val="18"/>
        </w:rPr>
        <w:t>当前状态：已完成（2026-10-15）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主体敏感标记配置受控：用户表新增密级许可字段 clearance（复用密级字典：公开/内部/秘密★5年/机密★10年/绝密★20年）；用户管理接口的标记写入需系统管理员，安全策略页的标记管理接口归安全员（/api/system/security/clearance），均留痕</w:t>
      </w:r>
    </w:p>
    <w:p>
      <w:pPr>
        <w:spacing w:after="80"/>
      </w:pPr>
      <w:r>
        <w:rPr>
          <w:b/>
        </w:rPr>
        <w:t>验证步骤：</w:t>
      </w:r>
      <w:r>
        <w:t>①系统管理员在用户管理页为用户设置密级许可；安全员在安全策略-敏感标记管理页调整许可，两处操作均在审计日志留痕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普通用户不可自主改标：用户更新接口对 clearance 的写入需 IsSystemAdmin；本人自助改密接口不涉及标记字段</w:t>
      </w:r>
    </w:p>
    <w:p>
      <w:pPr>
        <w:spacing w:after="80"/>
      </w:pPr>
      <w:r>
        <w:rPr>
          <w:b/>
        </w:rPr>
        <w:t>验证步骤：</w:t>
      </w:r>
      <w:r>
        <w:t>②以普通用户身份调用用户更新接口修改自己的 clearance，返回 403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客体敏感标记：项目密级字段 secret，取值来自密级字典，与用户密级许可同源可比</w:t>
      </w:r>
    </w:p>
    <w:p>
      <w:pPr>
        <w:spacing w:after="80"/>
      </w:pPr>
      <w:r>
        <w:rPr>
          <w:b/>
        </w:rPr>
        <w:t>验证步骤：</w:t>
      </w:r>
      <w:r>
        <w:t>③负责人在项目设置中修改项目密级，保存后项目信息显示同步更新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依据标记执行访问控制（不上读）：项目密级高于用户密级许可时拒绝访问，叠加在 DAC 之上（即使负责人/成员也拒绝；系统管理员不受限），见 access_control._secret_level</w:t>
      </w:r>
    </w:p>
    <w:p>
      <w:pPr>
        <w:spacing w:after="80"/>
      </w:pPr>
      <w:r>
        <w:rPr>
          <w:b/>
        </w:rPr>
        <w:t>验证步骤：</w:t>
      </w:r>
      <w:r>
        <w:t>④把项目设为机密(4)、成员许可设为秘密(3) → 该成员访问 403；提升许可到机密(4) → 恢复 200；项目改回公开 → 任意许可均可访问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分布式节点标记一致性：不适用 —— 平台单机部署，无多节点同步，不存在标记不一致场景</w:t>
      </w:r>
    </w:p>
    <w:p>
      <w:pPr>
        <w:spacing w:after="80"/>
      </w:pPr>
      <w:r>
        <w:rPr>
          <w:b/>
        </w:rPr>
        <w:t>验证步骤：</w:t>
      </w:r>
      <w:r>
        <w:t>⑤不适用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pStyle w:val="Heading2"/>
      </w:pPr>
      <w:r>
        <w:t>7.1.5  强制访问控制：多级安全策略，三权分立与最小授权，MAC 范围覆盖主体与客体</w:t>
      </w:r>
    </w:p>
    <w:p>
      <w:r>
        <w:rPr>
          <w:color w:val="666666"/>
          <w:sz w:val="18"/>
        </w:rPr>
        <w:t>当前状态：已完成（2026-10-15）：应用层强制管控+三权分立与最小授权（无全能账号）；OS/数据库层由部署环境保障；分布式/网络场景单机部署不适用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强制策略统一无冲突：判定规则单一来源——用户密级许可（clearance）× 项目密级（secret），比较逻辑唯一（utils/permissions.py 与 access_control），无并存的多套策略</w:t>
      </w:r>
    </w:p>
    <w:p>
      <w:pPr>
        <w:spacing w:after="80"/>
      </w:pPr>
      <w:r>
        <w:rPr>
          <w:b/>
        </w:rPr>
        <w:t>验证步骤：</w:t>
      </w:r>
      <w:r>
        <w:t>①核对安全策略页展示的标记规则与实际访问判定一致：同一主体对同一项目的判定结果唯一，无冲突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三权分立：utils/permissions.py 按 role 判定 IsSystemAdmin / IsSecurityAdmin / IsAuditor，三类账号的菜单与接口互相隔离</w:t>
      </w:r>
    </w:p>
    <w:p>
      <w:pPr>
        <w:spacing w:after="80"/>
      </w:pPr>
      <w:r>
        <w:rPr>
          <w:b/>
        </w:rPr>
        <w:t>验证步骤：</w:t>
      </w:r>
      <w:r>
        <w:t>②分别用管理员、安全员、审计员登录，交叉访问对方专属接口（用户管理 / 安全策略 / 审计日志），实测 4×4 权限矩阵，越权一律 403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最小授权与无全能账号：三类角色各自只有本职权限——用户管理仅系统管理员，标记与安全策略仅安全员，日志与证据核验仅审计员</w:t>
      </w:r>
    </w:p>
    <w:p>
      <w:pPr>
        <w:spacing w:after="80"/>
      </w:pPr>
      <w:r>
        <w:rPr>
          <w:b/>
        </w:rPr>
        <w:t>验证步骤：</w:t>
      </w:r>
      <w:r>
        <w:t>③管理员访问安全策略与审计接口 403；安全员访问用户管理 403；审计员访问安全策略 403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应用层强制管控生效：密级比较为强制层，位于 DAC 之上——即使已有项目成员身份，许可不足仍拒绝；系统管理员不受密级限制（运维需要）</w:t>
      </w:r>
    </w:p>
    <w:p>
      <w:pPr>
        <w:spacing w:after="80"/>
      </w:pPr>
      <w:r>
        <w:rPr>
          <w:b/>
        </w:rPr>
        <w:t>验证步骤：</w:t>
      </w:r>
      <w:r>
        <w:t>④成员许可低于项目密级时访问 403（已授权也拒绝）；换系统管理员账号访问同一项目成功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多粒度强制管控（操作系统/数据库/PMI）：不适用 —— 应用层不直接管控操作系统文件与数据库表级强制访问，该层由部署环境（OS 强制访问控制、MySQL 权限、PMI 基础设施）承担</w:t>
      </w:r>
    </w:p>
    <w:p>
      <w:pPr>
        <w:spacing w:after="80"/>
      </w:pPr>
      <w:r>
        <w:rPr>
          <w:b/>
        </w:rPr>
        <w:t>验证步骤：</w:t>
      </w:r>
      <w:r>
        <w:t>⑤不适用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spacing w:before="160" w:after="40"/>
      </w:pPr>
      <w:r>
        <w:rPr>
          <w:b/>
          <w:color w:val="1F4E79"/>
          <w:sz w:val="21"/>
        </w:rPr>
        <w:t>子要求 6</w:t>
      </w:r>
    </w:p>
    <w:p>
      <w:pPr>
        <w:spacing w:after="80"/>
      </w:pPr>
      <w:r>
        <w:rPr>
          <w:b/>
        </w:rPr>
        <w:t>实现位置：</w:t>
      </w:r>
      <w:r>
        <w:t>分布式与网络场景强制管控：不适用 —— 单机部署，无多节点与跨网段实例</w:t>
      </w:r>
    </w:p>
    <w:p>
      <w:pPr>
        <w:spacing w:after="80"/>
      </w:pPr>
      <w:r>
        <w:rPr>
          <w:b/>
        </w:rPr>
        <w:t>验证步骤：</w:t>
      </w:r>
      <w:r>
        <w:t>⑥不适用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pStyle w:val="Heading2"/>
      </w:pPr>
      <w:r>
        <w:t>7.1.6  安全审计：审计记录全覆盖（身份/事件/时间/结果），可查询追溯，超阈值告警，日志防篡改防删除</w:t>
      </w:r>
    </w:p>
    <w:p>
      <w:r>
        <w:rPr>
          <w:color w:val="666666"/>
          <w:sz w:val="18"/>
        </w:rPr>
        <w:t>当前状态：已完成（2026-10-16）：事件全覆盖+字段完整（含IP）+多维度检索+告警+防篡改防删除验证通过；分布式统一审计不适用（单机部署）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安全事件全覆盖：utils/audit.py 统一埋点（EVENT_* 常量 + EVENT_LABELS 单一真相源），覆盖登录成功/失败、账号增删改、权限变更、标记变更、越权拒绝、日志清空拒绝、完整性破损等核心事件</w:t>
      </w:r>
    </w:p>
    <w:p>
      <w:pPr>
        <w:spacing w:after="80"/>
      </w:pPr>
      <w:r>
        <w:rPr>
          <w:b/>
        </w:rPr>
        <w:t>验证步骤：</w:t>
      </w:r>
      <w:r>
        <w:t>①执行登录、新建/修改/停用账号、改密级、越权访问等操作，统一安全审计页逐条可见对应事件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日志字段完整：AuditLog（system_audit_log）记录主体账号、角色、事件类型、事件详情、成功与否、IP、User-Agent、时间</w:t>
      </w:r>
    </w:p>
    <w:p>
      <w:pPr>
        <w:spacing w:after="80"/>
      </w:pPr>
      <w:r>
        <w:rPr>
          <w:b/>
        </w:rPr>
        <w:t>验证步骤：</w:t>
      </w:r>
      <w:r>
        <w:t>②在统一安全审计页核对每条记录的主体账号/角色/事件/时间/IP 均非空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实时告警与异常分析：ALERT_EVENTS 集合标记告警类事件（登录失败、越权拒绝、日志清空尝试、完整性破损），审计页红标高亮并支持一键只看告警</w:t>
      </w:r>
    </w:p>
    <w:p>
      <w:pPr>
        <w:spacing w:after="80"/>
      </w:pPr>
      <w:r>
        <w:rPr>
          <w:b/>
        </w:rPr>
        <w:t>验证步骤：</w:t>
      </w:r>
      <w:r>
        <w:t>③连续输错口令产生登录失败告警；越权访问产生越权告警；在审计页切换「仅看告警」核对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多维度检索：统一安全审计页支持按账号、事件类型、IP、时间区间筛选；事件类型下拉由 /system/log/auditEventTypes 提供</w:t>
      </w:r>
    </w:p>
    <w:p>
      <w:pPr>
        <w:spacing w:after="80"/>
      </w:pPr>
      <w:r>
        <w:rPr>
          <w:b/>
        </w:rPr>
        <w:t>验证步骤：</w:t>
      </w:r>
      <w:r>
        <w:t>④按账号、事件类型、IP、时间四个维度分别筛选，核对结果收敛正确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日志防篡改防删除：审计日志仅追加，不提供修改接口；删除须审计员且仅限 30 天前（AUDIT_MIN_RETENTION_DAYS），全清请求一律拒绝并生成告警</w:t>
      </w:r>
    </w:p>
    <w:p>
      <w:pPr>
        <w:spacing w:after="80"/>
      </w:pPr>
      <w:r>
        <w:rPr>
          <w:b/>
        </w:rPr>
        <w:t>验证步骤：</w:t>
      </w:r>
      <w:r>
        <w:t>⑤尝试清空审计日志被拒并产生告警记录；普通用户与管理员访问删除接口 403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6</w:t>
      </w:r>
    </w:p>
    <w:p>
      <w:pPr>
        <w:spacing w:after="80"/>
      </w:pPr>
      <w:r>
        <w:rPr>
          <w:b/>
        </w:rPr>
        <w:t>实现位置：</w:t>
      </w:r>
      <w:r>
        <w:t>分布式统一审计：不适用 —— 单机部署，无多节点审计数据汇总场景</w:t>
      </w:r>
    </w:p>
    <w:p>
      <w:pPr>
        <w:spacing w:after="80"/>
      </w:pPr>
      <w:r>
        <w:rPr>
          <w:b/>
        </w:rPr>
        <w:t>验证步骤：</w:t>
      </w:r>
      <w:r>
        <w:t>⑥不适用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pStyle w:val="Heading2"/>
      </w:pPr>
      <w:r>
        <w:t>7.1.7  用户数据完整性保护：a) 对网络传输的用户公开数据进行完整性检测；b) 对存储的用户一般数据在数据被使用前进行完整性检测；c) 对网络传输的用户一般数据进行完整性检测；e) 对存储的用户重要数据通过完整性标签进行检测，使用前发现破损并能一定恢复；f) 对网络传输的用户重要数据通过完整性标签进行检测，破损时能一定恢复</w:t>
      </w:r>
    </w:p>
    <w:p>
      <w:r>
        <w:rPr>
          <w:color w:val="666666"/>
          <w:sz w:val="18"/>
        </w:rPr>
        <w:t>当前状态：已完成（2026-10-20 按标准 a/b/c/e/f 复核整改）：一般/重要数据存储已纳入 SHA256 完整性标签，读取用例与生成报告前强制校验，破损返回 409 并记 integrity_broken 告警；传输完整性由部署层 TLS 承担；重要数据破损后经数据库备份恢复并复核标签一致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公开数据传输保护：全部接口经 deploy/https 的 nginx TLS 反向代理（TLSv1.2/1.3），TLS 记录层 MAC 作为传输完整性标签，报文被篡改即校验失败并断链；应用不提供明文 HTTP 入口</w:t>
      </w:r>
    </w:p>
    <w:p>
      <w:pPr>
        <w:spacing w:after="80"/>
      </w:pPr>
      <w:r>
        <w:rPr>
          <w:b/>
        </w:rPr>
        <w:t>验证步骤：</w:t>
      </w:r>
      <w:r>
        <w:t>按 deploy/https/README.md 启动 nginx 后抓包篡改公开接口（字典/公告）响应报文，客户端 TLS 校验失败、连接中断，被篡改数据不落地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一般数据存储保护：轮次/被测件/设计需求/测试项纳入 DataIntegrityTag（SHA256 标签），写后由 integrity_signals 自动刷新；读取用例、生成报告前调用 ensure_intact / ensure_round_intact 重算比对，破损即拒绝使用并记 integrity_broken 告警</w:t>
      </w:r>
    </w:p>
    <w:p>
      <w:pPr>
        <w:spacing w:after="80"/>
      </w:pPr>
      <w:r>
        <w:rPr>
          <w:b/>
        </w:rPr>
        <w:t>验证步骤：</w:t>
      </w:r>
      <w:r>
        <w:t>绕过应用直改数据库中的一条轮次/被测件，再打开用例或生成报告——操作被 409 拒绝并产生告警；正常修改后再次使用无异常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一般数据传输保护：同公开数据，全部业务接口经 TLS；一般数据报文在 TLS 记录层做完整性校验，篡改或丢包导致 MAC 校验失败即断链，不进入应用层</w:t>
      </w:r>
    </w:p>
    <w:p>
      <w:pPr>
        <w:spacing w:after="80"/>
      </w:pPr>
      <w:r>
        <w:rPr>
          <w:b/>
        </w:rPr>
        <w:t>验证步骤：</w:t>
      </w:r>
      <w:r>
        <w:t>抓包篡改一般数据接口（轮次/被测件/设计需求/测试项）报文，连接中断，业务侧收不到被篡改数据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重要数据存储保护：项目/用例/用例步骤/问题单生成 SHA256 完整性标签（DataIntegrityTag，apps/project/tools/integrity.py）；使用前校验（用例读取、报告生成）发现破损即拒绝并告警；恢复依赖数据库备份导入，恢复后复核标签一致；批量 update 路径补刷标签，避免误报</w:t>
      </w:r>
    </w:p>
    <w:p>
      <w:pPr>
        <w:spacing w:after="80"/>
      </w:pPr>
      <w:r>
        <w:rPr>
          <w:b/>
        </w:rPr>
        <w:t>验证步骤：</w:t>
      </w:r>
      <w:r>
        <w:t>①绕过应用直改一条用例 → 读取该用例返回 409 并告警；②从数据库备份恢复该行后重新核查，标签一致；③批量替换人员/文本后核查仍完好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重要数据传输保护：重要数据接口（项目/用例/问题单/文档下载）全程 TLS，TLS 记录层 MAC 作为传输完整性标签，篡改即断链；备份文件落地时另记 SHA-256 摘要，恢复前校验</w:t>
      </w:r>
    </w:p>
    <w:p>
      <w:pPr>
        <w:spacing w:after="80"/>
      </w:pPr>
      <w:r>
        <w:rPr>
          <w:b/>
        </w:rPr>
        <w:t>验证步骤：</w:t>
      </w:r>
      <w:r>
        <w:t>抓包篡改重要数据接口报文 → TLS 校验失败、连接中断；备份恢复时摘要不符则拒绝恢复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pStyle w:val="Heading2"/>
      </w:pPr>
      <w:r>
        <w:t>7.1.8  用户数据保密性保护：数据存储、传输、处理、资源释放全流程保密性（加密算法、密钥管理、剩余信息保护）</w:t>
      </w:r>
    </w:p>
    <w:p>
      <w:r>
        <w:rPr>
          <w:color w:val="666666"/>
          <w:sz w:val="18"/>
        </w:rPr>
        <w:t>当前状态：已完成（2026-10-19；传输层由部署环境承担）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一般数据存储保护——落库加密（utils/crypto.py）：EncryptedCharField 透明加密字段，算法 Fernet（AES-128-CBC + HMAC-SHA256，带完整性校验），密钥由环境变量 FIELD_ENCRYPTION_KEY 提供；已应用于用户表 phone/email，写入自动加密、读取自动解密，密文形如 enc:v1:…；历史明文由数据迁移 apps/user/migrations/0009_encrypt_existing_sensitive_fields.py 就地加密。「安全策略-数据保密性」页展示已加密字段清单（由模型自动枚举，与代码同源）</w:t>
      </w:r>
    </w:p>
    <w:p>
      <w:pPr>
        <w:spacing w:after="80"/>
      </w:pPr>
      <w:r>
        <w:rPr>
          <w:b/>
        </w:rPr>
        <w:t>验证步骤：</w:t>
      </w:r>
      <w:r>
        <w:t>①用数据库客户端直接查用户表：SELECT username, phone, email FROM user_user WHERE username='srs_a' —— 只看到 enc:v1: 开头的密文，看不到明文电话/邮箱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一般数据传输保护——由部署层承担：deploy/https 提供 nginx TLS 反向代理（8443，TLSv1.2/TLSv1.3）+ 自签证书，浏览器与服务器之间全程密文；应用层不对外提供明文 HTTP 入口</w:t>
      </w:r>
    </w:p>
    <w:p>
      <w:pPr>
        <w:spacing w:after="80"/>
      </w:pPr>
      <w:r>
        <w:rPr>
          <w:b/>
        </w:rPr>
        <w:t>验证步骤：</w:t>
      </w:r>
      <w:r>
        <w:t>②按 deploy/https/README.md 启动 nginx 后访问 https://localhost:8443，确认浏览器握手为 TLSv1.3，登录口令与 token 全程密文传输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一般数据处理保护（缓冲区及其他动态记录介质的剩余信息删除）——apps/system/tools/residue.py：账号维度的 Redis 临时键（登录失败计数 login_fail:*、锁定标记 login_lock:*）在登出时立即清除，未登出的带 TTL（缓存默认 300 秒）；文档生成中间产物（media/&lt;R号&gt;/temp、form_template/*/temporary）按保留期一键清理，输入模板与最终交付文档不在清理范围</w:t>
      </w:r>
    </w:p>
    <w:p>
      <w:pPr>
        <w:spacing w:after="80"/>
      </w:pPr>
      <w:r>
        <w:rPr>
          <w:b/>
        </w:rPr>
        <w:t>验证步骤：</w:t>
      </w:r>
      <w:r>
        <w:t>③以某账号登录后登出，查 Redis：该账号的 login_fail/login_lock 键已消失；在「安全策略-数据保密性」页选择保留期后点「立即清理」，临时中间产物被删除、form_template 下的输入模板仍在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重要数据存储保护——同①：电话、邮箱按用户重要数据同等落库加密；因加密后无法 SQL 模糊匹配，另建 SHA-256 盲索引字段 Users.phone_index（保存时自动维护）支撑按电话等值检索</w:t>
      </w:r>
    </w:p>
    <w:p>
      <w:pPr>
        <w:spacing w:after="80"/>
      </w:pPr>
      <w:r>
        <w:rPr>
          <w:b/>
        </w:rPr>
        <w:t>验证步骤：</w:t>
      </w:r>
      <w:r>
        <w:t>④在用户管理页用完整电话精确检索仍能命中账号（走盲索引）；直接以该电话为条件查数据库则查不到任何行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重要数据传输保护——同②：TLS 反向代理承担，鉴别信息与业务数据在网络上均为密文</w:t>
      </w:r>
    </w:p>
    <w:p>
      <w:pPr>
        <w:spacing w:after="80"/>
      </w:pPr>
      <w:r>
        <w:rPr>
          <w:b/>
        </w:rPr>
        <w:t>验证步骤：</w:t>
      </w:r>
      <w:r>
        <w:t>⑤同②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6</w:t>
      </w:r>
    </w:p>
    <w:p>
      <w:pPr>
        <w:spacing w:after="80"/>
      </w:pPr>
      <w:r>
        <w:rPr>
          <w:b/>
        </w:rPr>
        <w:t>实现位置：</w:t>
      </w:r>
      <w:r>
        <w:t>重要数据剩余信息保护——日志脱敏（utils/sensitive.py）：请求参数写入接口操作日志前统一脱敏，口令/令牌类整体掩码、手机号保留前 3 后 4、邮箱保留首字符与域名；内存缓冲区与交换分区由 Python 运行时/操作系统回收，应用层不额外缓存敏感数据副本（如实标注，见「安全策略-数据保密性」页承担方列）</w:t>
      </w:r>
    </w:p>
    <w:p>
      <w:pPr>
        <w:spacing w:after="80"/>
      </w:pPr>
      <w:r>
        <w:rPr>
          <w:b/>
        </w:rPr>
        <w:t>验证步骤：</w:t>
      </w:r>
      <w:r>
        <w:t>⑥在用户管理页把某用户电话改为 13912345678 保存，查库 system_operation_log 的 request_body —— 电话显示为 139****5678，姓名等非敏感字段仍可读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pStyle w:val="Heading2"/>
      </w:pPr>
      <w:r>
        <w:t>7.1.9  备份与故障恢复：用户自我信息备份与恢复、系统定时增量备份与恢复</w:t>
      </w:r>
    </w:p>
    <w:p>
      <w:r>
        <w:rPr>
          <w:color w:val="666666"/>
          <w:sz w:val="18"/>
        </w:rPr>
        <w:t>当前状态：已完成（2026-10-19）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用户自我信息备份与恢复（apps/system/tools/backup.py + 数据管理-数据备份与恢复页）：登录用户可按项目范围选择备份重要业务数据（项目/轮次/被测件/设计需求/测试项/用例/用例步骤/问题单等 26 张表），逐表导出为 JSON 落在 media/backup/；恢复按主键 upsert（存在则更新、不存在则新建），逐条 savepoint 保证单条失败不影响其余；备份记录含 SHA-256 摘要，恢复前先校验摘要，摘要不符一律拒绝（防止用被篡改的备份覆盖数据）；全量备份影响面大，限系统管理员</w:t>
      </w:r>
    </w:p>
    <w:p>
      <w:pPr>
        <w:spacing w:after="80"/>
      </w:pPr>
      <w:r>
        <w:rPr>
          <w:b/>
        </w:rPr>
        <w:t>验证步骤：</w:t>
      </w:r>
      <w:r>
        <w:t>①在「数据管理-数据备份与恢复」页点「新建备份」，范围选某个项目（如 R2601）、类型选全量并提交 —— 列表出现该备份（条数、大小、SHA-256 摘要齐全）；随后把该项目下一条问题单改名或整行删除，再点该备份的「恢复」，数据回到备份时的状态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增量信息备份与恢复：增量备份以同范围最近一次成功备份时间为水位线，只导出其后新增/变更的记录（按 update_datetime / create_datetime 判定），不做全量重复；提供 manage.py auto_backup 命令（--kind incremental）供操作系统计划任务定时调用（如 schtasks 每天 02:00），也可在页面点「立即执行增量备份」；恢复与全量走同一套 upsert 逻辑</w:t>
      </w:r>
    </w:p>
    <w:p>
      <w:pPr>
        <w:spacing w:after="80"/>
      </w:pPr>
      <w:r>
        <w:rPr>
          <w:b/>
        </w:rPr>
        <w:t>验证步骤：</w:t>
      </w:r>
      <w:r>
        <w:t>②新增一条问题单后点「立即执行增量备份」—— 列表新增一条增量备份，条数远小于全量（实测 19 条 vs 197 条）；删除该问题单后按该增量备份「恢复」，问题单重新回到库中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pStyle w:val="Heading2"/>
      </w:pPr>
      <w:r>
        <w:t>7.1.10  系统安全性检测分析：按 GB/T 20271-2006 6.3.2.2 检测分析应用软件系统安全性，并结合本级要求加以改进。五类被测对象逐项自检（操作系统/数据库/网络/应用系统/硬件），应用层之外如实标注承担方；本次依据检测结论整改 4 项，见「安全策略-安全性检测分析」页的改进记录</w:t>
      </w:r>
    </w:p>
    <w:p>
      <w:r>
        <w:rPr>
          <w:color w:val="666666"/>
          <w:sz w:val="18"/>
        </w:rPr>
        <w:t>当前状态：已完成（2026-10-19；应用层自检落地，其余层如实标注承担方）</w:t>
      </w:r>
    </w:p>
    <w:p>
      <w:pPr>
        <w:spacing w:before="160" w:after="40"/>
      </w:pPr>
      <w:r>
        <w:rPr>
          <w:b/>
          <w:color w:val="1F4E79"/>
          <w:sz w:val="21"/>
        </w:rPr>
        <w:t>子要求 1</w:t>
      </w:r>
    </w:p>
    <w:p>
      <w:pPr>
        <w:spacing w:after="80"/>
      </w:pPr>
      <w:r>
        <w:rPr>
          <w:b/>
        </w:rPr>
        <w:t>实现位置：</w:t>
      </w:r>
      <w:r>
        <w:t>操作系统安全性检测分析（apps/system/tools/security_check.py 的「操作系统」类检测项）：运行模式（DEBUG 是否开启）、应用密钥（SECRET_KEY 是否仍为框架默认值）、主机头白名单（ALLOWED_HOSTS 是否通配）、敏感配置外置（.env 是否已被 .gitignore 忽略）。应用可读到的配置逐条判定；文件许可、账户设置、入侵迹象等需 OS 权限才能核查的项如实标注承担方</w:t>
      </w:r>
    </w:p>
    <w:p>
      <w:pPr>
        <w:spacing w:after="80"/>
      </w:pPr>
      <w:r>
        <w:rPr>
          <w:b/>
        </w:rPr>
        <w:t>验证步骤：</w:t>
      </w:r>
      <w:r>
        <w:t>①以系统安全员登录 →「安全策略-安全性检测分析」→ 点「执行检测」；操作系统类逐项给出结论。本地开发跑在 dev_settings（DEBUG=True）时会如实标为风险并提示生产改用非调试配置模块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2</w:t>
      </w:r>
    </w:p>
    <w:p>
      <w:pPr>
        <w:spacing w:after="80"/>
      </w:pPr>
      <w:r>
        <w:rPr>
          <w:b/>
        </w:rPr>
        <w:t>实现位置：</w:t>
      </w:r>
      <w:r>
        <w:t>数据库管理系统安全性检测分析（「数据库」类检测项）：连接账号是否超级账号 root、数据库口令是否为空或弱口令、连通性（执行 SELECT VERSION()）、会话连接是否启用 TLS（SHOW SESSION STATUS LIKE 'Ssl_cipher'）；库层漏洞库比对、补丁级别核查标注为由数据库管理机构用专用扫描工具承担</w:t>
      </w:r>
    </w:p>
    <w:p>
      <w:pPr>
        <w:spacing w:after="80"/>
      </w:pPr>
      <w:r>
        <w:rPr>
          <w:b/>
        </w:rPr>
        <w:t>验证步骤：</w:t>
      </w:r>
      <w:r>
        <w:t>②在同页查看数据库类结论（实测 5 项，其中脆弱性扫描 1 项不适用）；账号、口令类风险项均附整改建议（如为应用单建库账号并最小授权、改用强口令并从环境变量读取）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spacing w:before="160" w:after="40"/>
      </w:pPr>
      <w:r>
        <w:rPr>
          <w:b/>
          <w:color w:val="1F4E79"/>
          <w:sz w:val="21"/>
        </w:rPr>
        <w:t>子要求 3</w:t>
      </w:r>
    </w:p>
    <w:p>
      <w:pPr>
        <w:spacing w:after="80"/>
      </w:pPr>
      <w:r>
        <w:rPr>
          <w:b/>
        </w:rPr>
        <w:t>实现位置：</w:t>
      </w:r>
      <w:r>
        <w:t>网络系统安全性检测分析（「网络」类检测项）：只做应用能如实反映的一项——对外传输是否经 TLS 反向代理（deploy/https，8443/TLSv1.2-1.3）；防火墙等网络设备与链路的漏洞扫描标注为不适用，由网络管理机构使用专用扫描工具实施</w:t>
      </w:r>
    </w:p>
    <w:p>
      <w:pPr>
        <w:spacing w:after="80"/>
      </w:pPr>
      <w:r>
        <w:rPr>
          <w:b/>
        </w:rPr>
        <w:t>验证步骤：</w:t>
      </w:r>
      <w:r>
        <w:t>③在同页查看网络类结论（实测 2 项，其中网络设备与链路扫描 1 项不适用）；对外传输加密项显示为通过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spacing w:before="160" w:after="40"/>
      </w:pPr>
      <w:r>
        <w:rPr>
          <w:b/>
          <w:color w:val="1F4E79"/>
          <w:sz w:val="21"/>
        </w:rPr>
        <w:t>子要求 4</w:t>
      </w:r>
    </w:p>
    <w:p>
      <w:pPr>
        <w:spacing w:after="80"/>
      </w:pPr>
      <w:r>
        <w:rPr>
          <w:b/>
        </w:rPr>
        <w:t>实现位置：</w:t>
      </w:r>
      <w:r>
        <w:t>应用系统安全性检测分析（「应用系统」类检测项，本平台主场，逐条实测）：接口鉴别覆盖率（解析 OpenAPI 定义逐条判定，235 个接口中 231 个要求鉴别，未鉴别的仅剩登录/图形验证码/令牌刷新/一次性下载令牌）、口令存储哈希算法、鉴别失败锁定策略、特权账号双因子、敏感数据落库加密、安全审计开关与事件数、关键数据完整性标签、令牌有效期、剩余信息清理。检测动作本身写统一审计（security_scan 事件）</w:t>
      </w:r>
    </w:p>
    <w:p>
      <w:pPr>
        <w:spacing w:after="80"/>
      </w:pPr>
      <w:r>
        <w:rPr>
          <w:b/>
        </w:rPr>
        <w:t>验证步骤：</w:t>
      </w:r>
      <w:r>
        <w:t>④在同页查看应用系统类结论（实测项最多）；点「执行检测」后到「日志监控-统一安全审计」按事件类型「安全性检测分析」筛选，可看到本次检测的留痕</w:t>
      </w:r>
    </w:p>
    <w:p>
      <w:pPr>
        <w:spacing w:after="80"/>
      </w:pPr>
      <w:r>
        <w:rPr>
          <w:b/>
        </w:rPr>
        <w:t>判定：</w:t>
      </w:r>
      <w:r>
        <w:t>按上述步骤操作，结果与描述一致即通过；在追踪表「老陈手动验证」列对应行打 √</w:t>
      </w:r>
    </w:p>
    <w:p>
      <w:pPr>
        <w:spacing w:before="160" w:after="40"/>
      </w:pPr>
      <w:r>
        <w:rPr>
          <w:b/>
          <w:color w:val="1F4E79"/>
          <w:sz w:val="21"/>
        </w:rPr>
        <w:t>子要求 5</w:t>
      </w:r>
    </w:p>
    <w:p>
      <w:pPr>
        <w:spacing w:after="80"/>
      </w:pPr>
      <w:r>
        <w:rPr>
          <w:b/>
        </w:rPr>
        <w:t>实现位置：</w:t>
      </w:r>
      <w:r>
        <w:t>硬件系统安全性检测分析（「硬件」类检测项）：电磁泄漏发射与电磁干扰检测不适用——不属应用软件范围，由具备资质的检测机构或场地与设备管理机构按上级要求实施，在本页如实标注承担方</w:t>
      </w:r>
    </w:p>
    <w:p>
      <w:pPr>
        <w:spacing w:after="80"/>
      </w:pPr>
      <w:r>
        <w:rPr>
          <w:b/>
        </w:rPr>
        <w:t>验证步骤：</w:t>
      </w:r>
      <w:r>
        <w:t>⑤在同页查看硬件类结论：如实标注「不适用」及承担方（具备资质的检测机构/场地与设备管理机构）</w:t>
      </w:r>
    </w:p>
    <w:p>
      <w:pPr>
        <w:spacing w:after="80"/>
      </w:pPr>
      <w:r>
        <w:rPr>
          <w:b/>
        </w:rPr>
        <w:t>判定：</w:t>
      </w:r>
      <w:r>
        <w:t>不适用 —— 该子项在平台能力范围之外，已在追踪表注明由谁承担</w:t>
      </w:r>
    </w:p>
    <w:p>
      <w:pPr>
        <w:pStyle w:val="Heading1"/>
      </w:pPr>
      <w:r>
        <w:t>四、结果记录</w:t>
      </w:r>
    </w:p>
    <w:p>
      <w:r>
        <w:t>每条子要求验证通过后，在《安全测评要求实现追踪表.docx》对应行的「老陈手动验证」列填入 √；未通过则在旁注明现象，退回修改后重验。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  <w:instrText xml:space="preserve">NUMPAGES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