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①审计员在统一安全审计页点「立即核查」，48 条受保护数据批量重算比对，全部完好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写后自动刷新：integrity_signals.py 的 post_save/post_delete 保证正常业务写入后标签与数据一致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②正常新增/修改用例、问题单后再次核查，无破损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破损识别与告警：核查发现摘要不一致即判定破损，返回定位信息并记 integrity_broken 告警事件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③绕过应用直接改数据库里的一条用例，再次核查 → 红色告警并定位到该行数据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破损恢复：依赖数据库备份恢复（应用层无法凭空重建被篡改内容，如实标注）；恢复后复核标签一致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④从数据库备份恢复被改数据后重新核查，恢复完好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业务处理回退：关键写操作包在 @transaction.atomic 内，异常时整体回滚，不留残缺数据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⑤构造中途失败的业务操作（如批量建用例时数据不合法），核对无半成品数据落库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①用数据库客户端直接查用户表：SELECT username, phone, email FROM user_user WHERE username='srs_a' —— 只看到 enc:v1: 开头的密文，看不到明文电话/邮箱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已完成（2026-10-19；传输层由部署环境承担）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②按 deploy/https/README.md 启动 nginx 后访问 https://localhost:8443，确认浏览器握手为 TLSv1.3，登录口令与 token 全程密文传输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④在用户管理页用完整电话精确检索仍能命中账号（走盲索引）；直接以该电话为条件查数据库则查不到任何行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重要数据传输保护——同②：TLS 反向代理承担，鉴别信息与业务数据在网络上均为密文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⑤同②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⑥在用户管理页把某用户电话改为 13912345678 保存，查库 system_operation_log 的 request_body —— 电话显示为 139****5678，姓名等非敏感字段仍可读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备份与故障恢复：用户自我信息备份与恢复、系统定时增量备份与恢复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已完成（2026-10-19；应用层自检落地，其余层如实标注承担方）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③在同页查看网络类结论（实测 2 项，其中网络设备与链路扫描 1 项不适用）；对外传输加密项显示为通过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⑤在同页查看硬件类结论：如实标注「不适用」及承担方（具备资质的检测机构/场地与设备管理机构）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