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0"/>
        <w:gridCol w:w="904"/>
        <w:gridCol w:w="5666"/>
        <w:gridCol w:w="3018"/>
        <w:gridCol w:w="1698"/>
        <w:gridCol w:w="1302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400" w:type="pct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2200" w:type="pct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850" w:type="pct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700" w:type="pct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550" w:type="pct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0" w:type="auto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 xml:space="preserve">①②③④已具备；⑤传输加密/⑥失败锁定：讨论中；⑧单点登录：建议不做。④双因子实现：特权角色（admin/secadmin/auditadmin）登录强制 口令+图形验证码 双机制；验证码由后端生成（SVG、Redis 缓存 5 分钟、一次性防重放），服务端校验；普通用户保持单因子口令（分级鉴别）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 xml:space="preserve">④：特权账号登录无验证码/错验证码→被拒（40001 提示）；正确验证码→登录成功；重放同一验证码→被拒；普通用户不受强制。前端登录页显示后端验证码图片（点击刷新），失败后自动刷新。浏览器实测特权登录成功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进行中（①②③④已具备）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6FCB680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B23D02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7F4F4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B671D6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6DE082B6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9036F3C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73CF390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23353956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6963C90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4234F88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9AEED4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备份与故障恢复：用户自主备份、系统定时增量备份、故障后数据恢复全流程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56D15A3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87FBEC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7C6083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0" w:type="auto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2026-10-15T09:23:44Z</vt:lpwstr>
  </op:property>
</op:Properties>
</file>