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color w:val="17365D"/>
          <w:sz w:val="48"/>
        </w:rPr>
        <w:t>Week 3: Fine-Tuning &amp; RAG for Companion Dialogue Safety</w:t>
      </w:r>
    </w:p>
    <w:p>
      <w:pPr>
        <w:jc w:val="center"/>
      </w:pPr>
      <w:r>
        <w:rPr>
          <w:rFonts w:ascii="Aptos" w:hAnsi="Aptos"/>
          <w:color w:val="595959"/>
          <w:sz w:val="24"/>
        </w:rPr>
        <w:t>Tasks, execution steps, expected outcomes, and completion criteria</w:t>
      </w:r>
    </w:p>
    <w:p>
      <w:pPr>
        <w:jc w:val="center"/>
      </w:pPr>
      <w:r>
        <w:rPr>
          <w:rFonts w:ascii="Aptos" w:hAnsi="Aptos"/>
          <w:b/>
          <w:color w:val="C0504D"/>
          <w:sz w:val="20"/>
        </w:rPr>
        <w:t>Draft for review before implementation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8"/>
              </w:rPr>
              <w:t>Week 3 in one sentence</w:t>
            </w:r>
          </w:p>
          <w:p>
            <w:pPr>
              <w:spacing w:after="0"/>
            </w:pPr>
            <w:r>
              <w:rPr>
                <w:rFonts w:ascii="Aptos" w:hAnsi="Aptos"/>
              </w:rPr>
              <w:t>Build a small, reproducible companion-dialogue prototype that combines QLoRA fine-tuning, FAISS-based retrieval grounding, and an independent safety/escalation evaluation for Fari, with Senpai as a secondary grounding reference.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Objective and Scope</w:t>
      </w:r>
    </w:p>
    <w:p>
      <w:r>
        <w:rPr>
          <w:rFonts w:ascii="Aptos" w:hAnsi="Aptos"/>
          <w:b/>
        </w:rPr>
        <w:t xml:space="preserve">Primary product anchor: </w:t>
      </w:r>
      <w:r>
        <w:rPr>
          <w:rFonts w:ascii="Aptos" w:hAnsi="Aptos"/>
        </w:rPr>
        <w:t>Fari, with emphasis on safe eldercare companion dialogue.</w:t>
      </w:r>
    </w:p>
    <w:p>
      <w:r>
        <w:rPr>
          <w:rFonts w:ascii="Aptos" w:hAnsi="Aptos"/>
          <w:b/>
        </w:rPr>
        <w:t xml:space="preserve">Secondary product anchor: </w:t>
      </w:r>
      <w:r>
        <w:rPr>
          <w:rFonts w:ascii="Aptos" w:hAnsi="Aptos"/>
        </w:rPr>
        <w:t>Senpai, with emphasis on responses grounded in curated educational or guidance materials.</w:t>
      </w:r>
    </w:p>
    <w:p>
      <w:r>
        <w:rPr>
          <w:rFonts w:ascii="Aptos" w:hAnsi="Aptos"/>
          <w:b/>
        </w:rPr>
        <w:t xml:space="preserve">Core question: </w:t>
      </w:r>
      <w:r>
        <w:rPr>
          <w:rFonts w:ascii="Aptos" w:hAnsi="Aptos"/>
        </w:rPr>
        <w:t>Can a small openly licensed language model be adapted with QLoRA and supported by a FAISS RAG pipeline to produce safer, more grounded, and appropriately escalating companion dialogue?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7F6000"/>
              </w:rPr>
              <w:t>Important scope boundary</w:t>
            </w:r>
          </w:p>
          <w:p>
            <w:pPr>
              <w:spacing w:after="0"/>
            </w:pPr>
            <w:r>
              <w:rPr>
                <w:rFonts w:ascii="Aptos" w:hAnsi="Aptos"/>
              </w:rPr>
              <w:t>The Week 3 plan requires QLoRA, RAG, and safety evaluation. DPO is not listed as a required Week 3 deliverable. It should only be added if a suitable preference-pair dataset and enough time are available.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Required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3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Required contents</w:t>
            </w:r>
          </w:p>
        </w:tc>
        <w:tc>
          <w:tcPr>
            <w:tcW w:type="dxa" w:w="33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Evidence of completion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7"/>
              </w:rPr>
              <w:t>W03_LoRA_FineTune.ipynb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Dataset construction, QLoRA training, 2-3 rank/learning-rate configurations, loss curves, and qualitative response comparison.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Runs from top to bottom with a stated seed and documented configuration.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7"/>
              </w:rPr>
              <w:t>W03_RAG_Pipeline/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Document preparation, chunking, embeddings, FAISS index, retrieval function, and held-out top-k evaluation.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Reports the embedding model, chunking method, index type, and top-k hit rate.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7"/>
              </w:rPr>
              <w:t>W03_FineTune_RAG_Memo.md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Two-page summary of fine-tuning, retrieval, safety results, and Fari/Senpai product relevance.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Every headline claim is tied to a measured result or clearly stated limitation.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7"/>
              </w:rPr>
              <w:t>weekly/Wk-03-Recap.md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300-500 words comparing this week's safety design with the Psychologist Agent crisis-escalation logic.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Clearly states similarities, differences, limitations, and the main learning outcome.</w:t>
            </w:r>
          </w:p>
        </w:tc>
      </w:tr>
    </w:tbl>
    <w:p/>
    <w:p>
      <w:pPr>
        <w:pStyle w:val="Heading1"/>
        <w:keepNext/>
      </w:pPr>
      <w:r>
        <w:t>3. Workstreams and Execution Steps</w:t>
      </w:r>
    </w:p>
    <w:p>
      <w:pPr>
        <w:pStyle w:val="Heading2"/>
        <w:keepNext/>
      </w:pPr>
      <w:r>
        <w:t>3.1 Dialogue Task Framing and Dataset Construction</w:t>
      </w:r>
    </w:p>
    <w:p>
      <w:r>
        <w:rPr>
          <w:rFonts w:ascii="Aptos" w:hAnsi="Aptos"/>
          <w:b/>
        </w:rPr>
        <w:t xml:space="preserve">Plan requirement. </w:t>
      </w:r>
      <w:r>
        <w:rPr>
          <w:rFonts w:ascii="Aptos" w:hAnsi="Aptos"/>
        </w:rPr>
        <w:t>Create a small instruction-tuning dataset covering routine interaction, mild distress disclosure, and a clear escalation-worthy situation.</w:t>
      </w:r>
    </w:p>
    <w:p>
      <w:pPr>
        <w:pStyle w:val="ListNumber"/>
        <w:spacing w:after="40"/>
      </w:pPr>
      <w:r>
        <w:rPr>
          <w:rFonts w:ascii="Aptos" w:hAnsi="Aptos"/>
        </w:rPr>
        <w:t>Define a compact scenario taxonomy: ROUTINE, MILD_DISTRESS, and ESCALATE.</w:t>
      </w:r>
    </w:p>
    <w:p>
      <w:pPr>
        <w:pStyle w:val="ListNumber"/>
        <w:spacing w:after="40"/>
      </w:pPr>
      <w:r>
        <w:rPr>
          <w:rFonts w:ascii="Aptos" w:hAnsi="Aptos"/>
        </w:rPr>
        <w:t>Write instruction-response pairs that are supportive, grounded, and appropriately cautious. The model should not present itself as a medical professional or provide unsupported clinical advice.</w:t>
      </w:r>
    </w:p>
    <w:p>
      <w:pPr>
        <w:pStyle w:val="ListNumber"/>
        <w:spacing w:after="40"/>
      </w:pPr>
      <w:r>
        <w:rPr>
          <w:rFonts w:ascii="Aptos" w:hAnsi="Aptos"/>
        </w:rPr>
        <w:t>Create separate training, validation, and held-out qualitative evaluation prompts. The held-out prompts must not be reused to write or tune the training examples.</w:t>
      </w:r>
    </w:p>
    <w:p>
      <w:pPr>
        <w:pStyle w:val="ListNumber"/>
        <w:spacing w:after="40"/>
      </w:pPr>
      <w:r>
        <w:rPr>
          <w:rFonts w:ascii="Aptos" w:hAnsi="Aptos"/>
        </w:rPr>
        <w:t>Document dataset size, label distribution, construction method, seed, and any manual review rules.</w:t>
      </w:r>
    </w:p>
    <w:p>
      <w:pPr>
        <w:pStyle w:val="ListNumber"/>
        <w:spacing w:after="40"/>
      </w:pPr>
      <w:r>
        <w:rPr>
          <w:rFonts w:ascii="Aptos" w:hAnsi="Aptos"/>
        </w:rPr>
        <w:t>Keep the safety-evaluation test transcripts separate from the examples used to design the safety logic.</w:t>
      </w:r>
    </w:p>
    <w:p>
      <w:pPr>
        <w:pStyle w:val="SmallHeading"/>
        <w:keepNext/>
      </w:pPr>
      <w:r>
        <w:t>Expected effect</w:t>
      </w:r>
    </w:p>
    <w:p>
      <w:pPr>
        <w:pStyle w:val="ListBullet"/>
        <w:spacing w:after="40"/>
      </w:pPr>
      <w:r>
        <w:rPr>
          <w:rFonts w:ascii="Aptos" w:hAnsi="Aptos"/>
        </w:rPr>
        <w:t>The fine-tuned model should follow the desired companion tone and escalation boundaries more consistently than the base model on held-out prompts.</w:t>
      </w:r>
    </w:p>
    <w:p>
      <w:pPr>
        <w:pStyle w:val="ListBullet"/>
        <w:spacing w:after="40"/>
      </w:pPr>
      <w:r>
        <w:rPr>
          <w:rFonts w:ascii="Aptos" w:hAnsi="Aptos"/>
        </w:rPr>
        <w:t>The result should demonstrate a reproducible domain-adaptation workflow, not claim clinical or production readiness.</w:t>
      </w:r>
    </w:p>
    <w:p>
      <w:pPr>
        <w:pStyle w:val="Heading2"/>
        <w:keepNext/>
      </w:pPr>
      <w:r>
        <w:t>3.2 QLoRA Fine-Tuning and Ablation</w:t>
      </w:r>
    </w:p>
    <w:p>
      <w:r>
        <w:rPr>
          <w:rFonts w:ascii="Aptos" w:hAnsi="Aptos"/>
          <w:b/>
        </w:rPr>
        <w:t xml:space="preserve">Plan requirement. </w:t>
      </w:r>
      <w:r>
        <w:rPr>
          <w:rFonts w:ascii="Aptos" w:hAnsi="Aptos"/>
        </w:rPr>
        <w:t>Fine-tune a small openly licensed model and compare at least 2-3 rank and/or learning-rate configurations.</w:t>
      </w:r>
    </w:p>
    <w:p>
      <w:pPr>
        <w:pStyle w:val="ListNumber"/>
        <w:spacing w:after="40"/>
      </w:pPr>
      <w:r>
        <w:rPr>
          <w:rFonts w:ascii="Aptos" w:hAnsi="Aptos"/>
        </w:rPr>
        <w:t>Select a small base model that fits the available Colab or local GPU environment. The program plan lists Llama-3.2-1B/3B and Qwen2.5-1.5B as examples.</w:t>
      </w:r>
    </w:p>
    <w:p>
      <w:pPr>
        <w:pStyle w:val="ListNumber"/>
        <w:spacing w:after="40"/>
      </w:pPr>
      <w:r>
        <w:rPr>
          <w:rFonts w:ascii="Aptos" w:hAnsi="Aptos"/>
        </w:rPr>
        <w:t>Establish a base-model comparison on a fixed set of held-out prompts before fine-tuning.</w:t>
      </w:r>
    </w:p>
    <w:p>
      <w:pPr>
        <w:pStyle w:val="ListNumber"/>
        <w:spacing w:after="40"/>
      </w:pPr>
      <w:r>
        <w:rPr>
          <w:rFonts w:ascii="Aptos" w:hAnsi="Aptos"/>
        </w:rPr>
        <w:t>Run 2-3 QLoRA configurations. For each run, record LoRA rank, alpha, target modules, learning rate, epochs or steps, batch settings, seed, and final training loss.</w:t>
      </w:r>
    </w:p>
    <w:p>
      <w:pPr>
        <w:pStyle w:val="ListNumber"/>
        <w:spacing w:after="40"/>
      </w:pPr>
      <w:r>
        <w:rPr>
          <w:rFonts w:ascii="Aptos" w:hAnsi="Aptos"/>
        </w:rPr>
        <w:t>Plot training-loss curves and compare generated outputs on the same held-out prompt set.</w:t>
      </w:r>
    </w:p>
    <w:p>
      <w:pPr>
        <w:pStyle w:val="ListNumber"/>
        <w:spacing w:after="40"/>
      </w:pPr>
      <w:r>
        <w:rPr>
          <w:rFonts w:ascii="Aptos" w:hAnsi="Aptos"/>
        </w:rPr>
        <w:t>Choose the final configuration based on both training behavior and response quality, not training loss alone.</w:t>
      </w:r>
    </w:p>
    <w:p>
      <w:r>
        <w:br w:type="page"/>
      </w:r>
    </w:p>
    <w:p>
      <w:pPr>
        <w:pStyle w:val="SmallHeading"/>
        <w:keepNext/>
      </w:pPr>
      <w:r>
        <w:t>Proposed starting configurations (subject to GPU capacity)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8"/>
              </w:rPr>
              <w:t>Run</w:t>
            </w:r>
          </w:p>
        </w:tc>
        <w:tc>
          <w:tcPr>
            <w:tcW w:type="dxa" w:w="25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8"/>
              </w:rPr>
              <w:t>LoRA rank</w:t>
            </w:r>
          </w:p>
        </w:tc>
        <w:tc>
          <w:tcPr>
            <w:tcW w:type="dxa" w:w="25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8"/>
              </w:rPr>
              <w:t>Learning rate</w:t>
            </w:r>
          </w:p>
        </w:tc>
        <w:tc>
          <w:tcPr>
            <w:tcW w:type="dxa" w:w="25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2e-4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Lower-capacity baseline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B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16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2e-4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Test added adapter capacity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C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16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1e-4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Test a more conservative learning rate</w:t>
            </w:r>
          </w:p>
        </w:tc>
      </w:tr>
    </w:tbl>
    <w:p>
      <w:pPr>
        <w:pStyle w:val="SmallHeading"/>
        <w:keepNext/>
      </w:pPr>
      <w:r>
        <w:t>Expected effect</w:t>
      </w:r>
    </w:p>
    <w:p>
      <w:pPr>
        <w:pStyle w:val="ListBullet"/>
        <w:spacing w:after="40"/>
      </w:pPr>
      <w:r>
        <w:rPr>
          <w:rFonts w:ascii="Aptos" w:hAnsi="Aptos"/>
        </w:rPr>
        <w:t>Identify one configuration that offers the best balance of stable training, appropriate tone, grounding behavior, and escalation quality.</w:t>
      </w:r>
    </w:p>
    <w:p>
      <w:pPr>
        <w:pStyle w:val="ListBullet"/>
        <w:spacing w:after="40"/>
      </w:pPr>
      <w:r>
        <w:rPr>
          <w:rFonts w:ascii="Aptos" w:hAnsi="Aptos"/>
        </w:rPr>
        <w:t>Avoid claiming that the configuration is globally optimal; the comparison is a small controlled ablation for this week.</w:t>
      </w:r>
    </w:p>
    <w:p>
      <w:pPr>
        <w:pStyle w:val="Heading2"/>
        <w:keepNext/>
      </w:pPr>
      <w:r>
        <w:t>3.3 FAISS RAG Pipeline and Retrieval Evaluation</w:t>
      </w:r>
    </w:p>
    <w:p>
      <w:r>
        <w:rPr>
          <w:rFonts w:ascii="Aptos" w:hAnsi="Aptos"/>
          <w:b/>
        </w:rPr>
        <w:t xml:space="preserve">Plan requirement. </w:t>
      </w:r>
      <w:r>
        <w:rPr>
          <w:rFonts w:ascii="Aptos" w:hAnsi="Aptos"/>
        </w:rPr>
        <w:t>Build a FAISS-based retrieval pipeline over a small curated public knowledge base and report top-k retrieval hit rate on a held-out query set.</w:t>
      </w:r>
    </w:p>
    <w:p>
      <w:pPr>
        <w:pStyle w:val="ListNumber"/>
        <w:spacing w:after="40"/>
      </w:pPr>
      <w:r>
        <w:rPr>
          <w:rFonts w:ascii="Aptos" w:hAnsi="Aptos"/>
        </w:rPr>
        <w:t>Select a small set of public eldercare or supportive-communication guidance documents. Record the source, title, and the section used.</w:t>
      </w:r>
    </w:p>
    <w:p>
      <w:pPr>
        <w:pStyle w:val="ListNumber"/>
        <w:spacing w:after="40"/>
      </w:pPr>
      <w:r>
        <w:rPr>
          <w:rFonts w:ascii="Aptos" w:hAnsi="Aptos"/>
        </w:rPr>
        <w:t>Clean and chunk the documents using one documented chunk size and overlap policy.</w:t>
      </w:r>
    </w:p>
    <w:p>
      <w:pPr>
        <w:pStyle w:val="ListNumber"/>
        <w:spacing w:after="40"/>
      </w:pPr>
      <w:r>
        <w:rPr>
          <w:rFonts w:ascii="Aptos" w:hAnsi="Aptos"/>
        </w:rPr>
        <w:t>Generate embeddings with a named sentence-transformers model and build a FAISS index.</w:t>
      </w:r>
    </w:p>
    <w:p>
      <w:pPr>
        <w:pStyle w:val="ListNumber"/>
        <w:spacing w:after="40"/>
      </w:pPr>
      <w:r>
        <w:rPr>
          <w:rFonts w:ascii="Aptos" w:hAnsi="Aptos"/>
        </w:rPr>
        <w:t>Implement top-k retrieval and pass the retrieved passages into the generation prompt as supporting context.</w:t>
      </w:r>
    </w:p>
    <w:p>
      <w:pPr>
        <w:pStyle w:val="ListNumber"/>
        <w:spacing w:after="40"/>
      </w:pPr>
      <w:r>
        <w:rPr>
          <w:rFonts w:ascii="Aptos" w:hAnsi="Aptos"/>
        </w:rPr>
        <w:t>Create a held-out query set with expected relevant passages or documents. Do not use these queries to tune the chunking or retrieval settings.</w:t>
      </w:r>
    </w:p>
    <w:p>
      <w:pPr>
        <w:pStyle w:val="ListNumber"/>
        <w:spacing w:after="40"/>
      </w:pPr>
      <w:r>
        <w:rPr>
          <w:rFonts w:ascii="Aptos" w:hAnsi="Aptos"/>
        </w:rPr>
        <w:t>Report top-k hit rate, preferably Top-1, Top-3, and Top-5, plus a brief error analysis for missed queries.</w:t>
      </w:r>
    </w:p>
    <w:p>
      <w:pPr>
        <w:pStyle w:val="SmallHeading"/>
        <w:keepNext/>
      </w:pPr>
      <w:r>
        <w:t>Expected effect</w:t>
      </w:r>
    </w:p>
    <w:p>
      <w:pPr>
        <w:pStyle w:val="ListBullet"/>
        <w:spacing w:after="40"/>
      </w:pPr>
      <w:r>
        <w:rPr>
          <w:rFonts w:ascii="Aptos" w:hAnsi="Aptos"/>
        </w:rPr>
        <w:t>Responses should be more evidence-grounded and less dependent on unsupported parametric memory.</w:t>
      </w:r>
    </w:p>
    <w:p>
      <w:pPr>
        <w:pStyle w:val="ListBullet"/>
        <w:spacing w:after="40"/>
      </w:pPr>
      <w:r>
        <w:rPr>
          <w:rFonts w:ascii="Aptos" w:hAnsi="Aptos"/>
        </w:rPr>
        <w:t>The retrieval evaluation should show whether the correct source is available to the model; it does not by itself prove that the final generated answer is safe or correct.</w:t>
      </w:r>
    </w:p>
    <w:p>
      <w:pPr>
        <w:pStyle w:val="Heading2"/>
        <w:keepNext/>
      </w:pPr>
      <w:r>
        <w:t>3.4 Safety and Escalation Evaluation</w:t>
      </w:r>
    </w:p>
    <w:p>
      <w:r>
        <w:rPr>
          <w:rFonts w:ascii="Aptos" w:hAnsi="Aptos"/>
          <w:b/>
        </w:rPr>
        <w:t xml:space="preserve">Plan requirement. </w:t>
      </w:r>
      <w:r>
        <w:rPr>
          <w:rFonts w:ascii="Aptos" w:hAnsi="Aptos"/>
        </w:rPr>
        <w:t>Implement a lightweight safety check and evaluate it on a separate labeled test set.</w:t>
      </w:r>
    </w:p>
    <w:p>
      <w:pPr>
        <w:pStyle w:val="ListNumber"/>
        <w:spacing w:after="40"/>
      </w:pPr>
      <w:r>
        <w:rPr>
          <w:rFonts w:ascii="Aptos" w:hAnsi="Aptos"/>
        </w:rPr>
        <w:t>Define the safety labels and escalation policy before evaluating the system.</w:t>
      </w:r>
    </w:p>
    <w:p>
      <w:pPr>
        <w:pStyle w:val="ListNumber"/>
        <w:spacing w:after="40"/>
      </w:pPr>
      <w:r>
        <w:rPr>
          <w:rFonts w:ascii="Aptos" w:hAnsi="Aptos"/>
        </w:rPr>
        <w:t>Implement a transparent first version, such as keyword/rule logic, a small classifier, or a hybrid approach.</w:t>
      </w:r>
    </w:p>
    <w:p>
      <w:pPr>
        <w:pStyle w:val="ListNumber"/>
        <w:spacing w:after="40"/>
      </w:pPr>
      <w:r>
        <w:rPr>
          <w:rFonts w:ascii="Aptos" w:hAnsi="Aptos"/>
        </w:rPr>
        <w:t>Create a labeled held-out set of routine, distress, and escalation-worthy transcripts that was not used to design the rules.</w:t>
      </w:r>
    </w:p>
    <w:p>
      <w:pPr>
        <w:pStyle w:val="ListNumber"/>
        <w:spacing w:after="40"/>
      </w:pPr>
      <w:r>
        <w:rPr>
          <w:rFonts w:ascii="Aptos" w:hAnsi="Aptos"/>
        </w:rPr>
        <w:t>Report accuracy and class-level precision, recall, and F1. Give particular attention to recall for escalation-worthy cases and document false negatives.</w:t>
      </w:r>
    </w:p>
    <w:p>
      <w:pPr>
        <w:pStyle w:val="ListNumber"/>
        <w:spacing w:after="40"/>
      </w:pPr>
      <w:r>
        <w:rPr>
          <w:rFonts w:ascii="Aptos" w:hAnsi="Aptos"/>
        </w:rPr>
        <w:t>Explain the intended action for a flagged case, such as recommending contact with a trusted person, professional support, or emergency services when appropriate.</w:t>
      </w:r>
    </w:p>
    <w:p>
      <w:pPr>
        <w:pStyle w:val="SmallHeading"/>
        <w:keepNext/>
      </w:pPr>
      <w:r>
        <w:t>Expected effect</w:t>
      </w:r>
    </w:p>
    <w:p>
      <w:pPr>
        <w:pStyle w:val="ListBullet"/>
        <w:spacing w:after="40"/>
      </w:pPr>
      <w:r>
        <w:rPr>
          <w:rFonts w:ascii="Aptos" w:hAnsi="Aptos"/>
        </w:rPr>
        <w:t>Demonstrate that safety is evaluated independently from retrieval and generation rather than assumed from good-looking examples.</w:t>
      </w:r>
    </w:p>
    <w:p>
      <w:pPr>
        <w:pStyle w:val="ListBullet"/>
        <w:spacing w:after="40"/>
      </w:pPr>
      <w:r>
        <w:rPr>
          <w:rFonts w:ascii="Aptos" w:hAnsi="Aptos"/>
        </w:rPr>
        <w:t>The internship plan does not specify a mandatory numerical target. Success is a reproducible held-out evaluation with transparent errors and limitations.</w:t>
      </w:r>
    </w:p>
    <w:p>
      <w:pPr>
        <w:pStyle w:val="Heading2"/>
        <w:keepNext/>
      </w:pPr>
      <w:r>
        <w:t>3.5 Integration, Documentation, and Product Anchoring</w:t>
      </w:r>
    </w:p>
    <w:p>
      <w:r>
        <w:rPr>
          <w:rFonts w:ascii="Aptos" w:hAnsi="Aptos"/>
          <w:b/>
        </w:rPr>
        <w:t xml:space="preserve">Proposed integrated flow. </w:t>
      </w:r>
      <w:r>
        <w:rPr>
          <w:rFonts w:ascii="Aptos" w:hAnsi="Aptos"/>
        </w:rPr>
        <w:t>User dialogue → retrieve relevant guidance → generate with the selected fine-tuned model → apply safety/escalation check → return or escalate.</w:t>
      </w:r>
    </w:p>
    <w:p>
      <w:pPr>
        <w:pStyle w:val="ListNumber"/>
        <w:spacing w:after="40"/>
      </w:pPr>
      <w:r>
        <w:rPr>
          <w:rFonts w:ascii="Aptos" w:hAnsi="Aptos"/>
        </w:rPr>
        <w:t>Keep fine-tuning, retrieval, and safety metrics separate so that one strong component does not hide another component's weakness.</w:t>
      </w:r>
    </w:p>
    <w:p>
      <w:pPr>
        <w:pStyle w:val="ListNumber"/>
        <w:spacing w:after="40"/>
      </w:pPr>
      <w:r>
        <w:rPr>
          <w:rFonts w:ascii="Aptos" w:hAnsi="Aptos"/>
        </w:rPr>
        <w:t>Anchor Fari to eldercare dialogue safety and escalation. Anchor Senpai to retrieval grounding and age-appropriate evidence use.</w:t>
      </w:r>
    </w:p>
    <w:p>
      <w:pPr>
        <w:pStyle w:val="ListNumber"/>
        <w:spacing w:after="40"/>
      </w:pPr>
      <w:r>
        <w:rPr>
          <w:rFonts w:ascii="Aptos" w:hAnsi="Aptos"/>
        </w:rPr>
        <w:t>Write the memo around measured findings, trade-offs, and limitations rather than only describing the tools used.</w:t>
      </w:r>
    </w:p>
    <w:p>
      <w:pPr>
        <w:pStyle w:val="ListNumber"/>
        <w:spacing w:after="40"/>
      </w:pPr>
      <w:r>
        <w:rPr>
          <w:rFonts w:ascii="Aptos" w:hAnsi="Aptos"/>
        </w:rPr>
        <w:t>Ensure all files run from a clean clone with pinned requirements, documented seeds, and no confidential InGen data.</w:t>
      </w:r>
    </w:p>
    <w:p>
      <w:pPr>
        <w:pStyle w:val="Heading1"/>
        <w:keepNext/>
      </w:pPr>
      <w:r>
        <w:t>4. Proposed Five-Day Work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Primary focus</w:t>
            </w:r>
          </w:p>
        </w:tc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Planned output</w:t>
            </w:r>
          </w:p>
        </w:tc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Checkpoint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7"/>
              </w:rPr>
              <w:t>Day 1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Finalize scope and data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Scenario taxonomy, instruction dataset draft, source list, held-out sets, baseline prompts.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No overlap between train/tuning examples and held-out evaluation sets.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7"/>
              </w:rPr>
              <w:t>Day 2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QLoRA setup and first runs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Base-model outputs and configurations A/B; training logs and loss curves.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All hyperparameters and seed recorded.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7"/>
              </w:rPr>
              <w:t>Day 3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Complete ablation and select model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Configuration C, fixed-prompt comparison, selected final adapter.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Selection justified by behavior and loss, not loss alone.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7"/>
              </w:rPr>
              <w:t>Day 4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RAG and safety evaluation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FAISS index, top-k results, safety checker, labeled test metrics.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Held-out retrieval queries and safety transcripts remain independent.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7"/>
              </w:rPr>
              <w:t>Day 5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Integration and delivery QA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Final notebook/folder, memo, recap, README update, clean-clone test.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All artifacts run end to end and claims match measured results.</w:t>
            </w:r>
          </w:p>
        </w:tc>
      </w:tr>
    </w:tbl>
    <w:p>
      <w:pPr>
        <w:pStyle w:val="Heading1"/>
        <w:keepNext/>
      </w:pPr>
      <w:r>
        <w:t>5. Expected Outcomes</w:t>
      </w:r>
    </w:p>
    <w:p>
      <w:pPr>
        <w:pStyle w:val="ListBullet"/>
        <w:spacing w:after="60"/>
      </w:pPr>
      <w:r>
        <w:rPr>
          <w:rFonts w:ascii="Aptos" w:hAnsi="Aptos"/>
          <w:b/>
        </w:rPr>
        <w:t xml:space="preserve">Fine-tuning: </w:t>
      </w:r>
      <w:r>
        <w:rPr>
          <w:rFonts w:ascii="Aptos" w:hAnsi="Aptos"/>
        </w:rPr>
        <w:t>At least 2-3 reproducible QLoRA runs and one defensible selected configuration, with loss curves and fixed-prompt qualitative comparison.</w:t>
      </w:r>
    </w:p>
    <w:p>
      <w:pPr>
        <w:pStyle w:val="ListBullet"/>
        <w:spacing w:after="60"/>
      </w:pPr>
      <w:r>
        <w:rPr>
          <w:rFonts w:ascii="Aptos" w:hAnsi="Aptos"/>
          <w:b/>
        </w:rPr>
        <w:t xml:space="preserve">Grounding: </w:t>
      </w:r>
      <w:r>
        <w:rPr>
          <w:rFonts w:ascii="Aptos" w:hAnsi="Aptos"/>
        </w:rPr>
        <w:t>A FAISS pipeline that retrieves relevant public guidance and reports held-out top-k hit rate.</w:t>
      </w:r>
    </w:p>
    <w:p>
      <w:pPr>
        <w:pStyle w:val="ListBullet"/>
        <w:spacing w:after="60"/>
      </w:pPr>
      <w:r>
        <w:rPr>
          <w:rFonts w:ascii="Aptos" w:hAnsi="Aptos"/>
          <w:b/>
        </w:rPr>
        <w:t xml:space="preserve">Safety: </w:t>
      </w:r>
      <w:r>
        <w:rPr>
          <w:rFonts w:ascii="Aptos" w:hAnsi="Aptos"/>
        </w:rPr>
        <w:t>An independent escalation checker evaluated on a labeled held-out set, with false-negative analysis.</w:t>
      </w:r>
    </w:p>
    <w:p>
      <w:pPr>
        <w:pStyle w:val="ListBullet"/>
        <w:spacing w:after="60"/>
      </w:pPr>
      <w:r>
        <w:rPr>
          <w:rFonts w:ascii="Aptos" w:hAnsi="Aptos"/>
          <w:b/>
        </w:rPr>
        <w:t xml:space="preserve">System design: </w:t>
      </w:r>
      <w:r>
        <w:rPr>
          <w:rFonts w:ascii="Aptos" w:hAnsi="Aptos"/>
        </w:rPr>
        <w:t>A clear separation between model adaptation, evidence retrieval, and safety governance, plus an optional integrated demonstration flow.</w:t>
      </w:r>
    </w:p>
    <w:p>
      <w:pPr>
        <w:pStyle w:val="ListBullet"/>
        <w:spacing w:after="60"/>
      </w:pPr>
      <w:r>
        <w:rPr>
          <w:rFonts w:ascii="Aptos" w:hAnsi="Aptos"/>
          <w:b/>
        </w:rPr>
        <w:t xml:space="preserve">Product relevance: </w:t>
      </w:r>
      <w:r>
        <w:rPr>
          <w:rFonts w:ascii="Aptos" w:hAnsi="Aptos"/>
        </w:rPr>
        <w:t>A measured explanation of how the work supports Fari dialogue safety and Senpai retrieval grounding.</w:t>
      </w:r>
    </w:p>
    <w:p>
      <w:pPr>
        <w:pStyle w:val="ListBullet"/>
        <w:spacing w:after="60"/>
      </w:pPr>
      <w:r>
        <w:rPr>
          <w:rFonts w:ascii="Aptos" w:hAnsi="Aptos"/>
          <w:b/>
        </w:rPr>
        <w:t xml:space="preserve">Portfolio quality: </w:t>
      </w:r>
      <w:r>
        <w:rPr>
          <w:rFonts w:ascii="Aptos" w:hAnsi="Aptos"/>
        </w:rPr>
        <w:t>Clean, reproducible, publicly shareable artifacts with limitations stated clearly and no confidential content.</w:t>
      </w:r>
    </w:p>
    <w:p>
      <w:pPr>
        <w:pStyle w:val="Heading1"/>
        <w:keepNext/>
      </w:pPr>
      <w:r>
        <w:t>6. Definition of Done</w:t>
      </w:r>
    </w:p>
    <w:p>
      <w:pPr>
        <w:pStyle w:val="ListBullet"/>
        <w:spacing w:after="40"/>
      </w:pPr>
      <w:r>
        <w:rPr>
          <w:rFonts w:ascii="Aptos" w:hAnsi="Aptos"/>
        </w:rPr>
        <w:t>The QLoRA notebook executes from start to finish and documents model name, dataset, seed, rank, alpha, target modules, learning rate, and training steps.</w:t>
      </w:r>
    </w:p>
    <w:p>
      <w:pPr>
        <w:pStyle w:val="ListBullet"/>
        <w:spacing w:after="40"/>
      </w:pPr>
      <w:r>
        <w:rPr>
          <w:rFonts w:ascii="Aptos" w:hAnsi="Aptos"/>
        </w:rPr>
        <w:t>At least 2-3 fine-tuning configurations are compared using loss curves and the same held-out prompts.</w:t>
      </w:r>
    </w:p>
    <w:p>
      <w:pPr>
        <w:pStyle w:val="ListBullet"/>
        <w:spacing w:after="40"/>
      </w:pPr>
      <w:r>
        <w:rPr>
          <w:rFonts w:ascii="Aptos" w:hAnsi="Aptos"/>
        </w:rPr>
        <w:t>The RAG folder documents the source set, chunking strategy, embedding model, FAISS index, top-k setting, and held-out retrieval hit rate.</w:t>
      </w:r>
    </w:p>
    <w:p>
      <w:pPr>
        <w:pStyle w:val="ListBullet"/>
        <w:spacing w:after="40"/>
      </w:pPr>
      <w:r>
        <w:rPr>
          <w:rFonts w:ascii="Aptos" w:hAnsi="Aptos"/>
        </w:rPr>
        <w:t>The safety logic is tested on a labeled set that was not used to design the logic, with accuracy and class-level metrics reported.</w:t>
      </w:r>
    </w:p>
    <w:p>
      <w:pPr>
        <w:pStyle w:val="ListBullet"/>
        <w:spacing w:after="40"/>
      </w:pPr>
      <w:r>
        <w:rPr>
          <w:rFonts w:ascii="Aptos" w:hAnsi="Aptos"/>
        </w:rPr>
        <w:t>The memo connects the results to Fari and Senpai and distinguishes measured results from assumptions or limitations.</w:t>
      </w:r>
    </w:p>
    <w:p>
      <w:pPr>
        <w:pStyle w:val="ListBullet"/>
        <w:spacing w:after="40"/>
      </w:pPr>
      <w:r>
        <w:rPr>
          <w:rFonts w:ascii="Aptos" w:hAnsi="Aptos"/>
        </w:rPr>
        <w:t>The weekly recap explains how this safety design resembles and differs from the Psychologist Agent crisis-escalation workflow.</w:t>
      </w:r>
    </w:p>
    <w:p>
      <w:pPr>
        <w:pStyle w:val="ListBullet"/>
        <w:spacing w:after="40"/>
      </w:pPr>
      <w:r>
        <w:rPr>
          <w:rFonts w:ascii="Aptos" w:hAnsi="Aptos"/>
        </w:rPr>
        <w:t>The repository contains only public or constructed data and is suitable for portfolio publication.</w:t>
      </w:r>
    </w:p>
    <w:p>
      <w:pPr>
        <w:pStyle w:val="Heading1"/>
        <w:keepNext/>
      </w:pPr>
      <w:r>
        <w:t>7. Main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8"/>
              </w:rPr>
              <w:t>Risk</w:t>
            </w:r>
          </w:p>
        </w:tc>
        <w:tc>
          <w:tcPr>
            <w:tcW w:type="dxa" w:w="33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8"/>
              </w:rPr>
              <w:t>Possible impact</w:t>
            </w:r>
          </w:p>
        </w:tc>
        <w:tc>
          <w:tcPr>
            <w:tcW w:type="dxa" w:w="33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GPU or bitsandbytes compatibility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QLoRA runs may fail or take too long.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Use a 1B-1.5B model, verify the environment first, and keep a smaller fallback configuration.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Constructed dataset is too small or repetitive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The adapter may memorize style rather than generalize.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Use varied scenarios, preserve held-out prompts, and frame conclusions as a small-domain proof of concept.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Retrieval evaluation becomes circular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Hit rate may look better because test questions influenced tuning.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Freeze a separate held-out query set before adjusting chunking or top-k.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Safety checker is overfit to keywords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It may miss indirect high-risk language.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Include paraphrases and indirect cases in the held-out set; report false negatives explicitly.</w:t>
            </w:r>
          </w:p>
        </w:tc>
      </w:tr>
      <w:tr>
        <w:trPr>
          <w:cantSplit/>
        </w:trP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Week scope becomes too large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Integration quality and documentation may suffer.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Prioritize the required notebook, RAG evaluation, safety evaluation, memo, and recap; treat serving or DPO as optional extensions.</w:t>
            </w:r>
          </w:p>
        </w:tc>
      </w:tr>
    </w:tbl>
    <w:p>
      <w:pPr>
        <w:pStyle w:val="Heading1"/>
        <w:keepNext/>
      </w:pPr>
      <w:r>
        <w:t>8. Items to Confirm Before Finalizing the Implementation</w:t>
      </w:r>
    </w:p>
    <w:p>
      <w:pPr>
        <w:pStyle w:val="ListBullet"/>
        <w:spacing w:after="40"/>
      </w:pPr>
      <w:r>
        <w:rPr>
          <w:rFonts w:ascii="Aptos" w:hAnsi="Aptos"/>
        </w:rPr>
        <w:t>Is there a preferred base model, or should the choice be based on available GPU memory and license compatibility?</w:t>
      </w:r>
    </w:p>
    <w:p>
      <w:pPr>
        <w:pStyle w:val="ListBullet"/>
        <w:spacing w:after="40"/>
      </w:pPr>
      <w:r>
        <w:rPr>
          <w:rFonts w:ascii="Aptos" w:hAnsi="Aptos"/>
        </w:rPr>
        <w:t>Is there an expected minimum number of instruction pairs or held-out evaluation prompts? The plan does not specify a required dataset size.</w:t>
      </w:r>
    </w:p>
    <w:p>
      <w:pPr>
        <w:pStyle w:val="ListBullet"/>
        <w:spacing w:after="40"/>
      </w:pPr>
      <w:r>
        <w:rPr>
          <w:rFonts w:ascii="Aptos" w:hAnsi="Aptos"/>
        </w:rPr>
        <w:t>Should the safety checker use three labels (routine, distress, escalate), or is a binary safe/escalate output preferred?</w:t>
      </w:r>
    </w:p>
    <w:p>
      <w:pPr>
        <w:pStyle w:val="ListBullet"/>
        <w:spacing w:after="40"/>
      </w:pPr>
      <w:r>
        <w:rPr>
          <w:rFonts w:ascii="Aptos" w:hAnsi="Aptos"/>
        </w:rPr>
        <w:t>Is an integrated end-to-end demo required, or are independently evaluated fine-tuning, RAG, and safety components sufficient?</w:t>
      </w:r>
    </w:p>
    <w:p>
      <w:pPr>
        <w:pStyle w:val="ListBullet"/>
        <w:spacing w:after="40"/>
      </w:pPr>
      <w:r>
        <w:rPr>
          <w:rFonts w:ascii="Aptos" w:hAnsi="Aptos"/>
        </w:rPr>
        <w:t>Are there any preferred public eldercare or educational guidance sources for the knowledge base?</w:t>
      </w:r>
    </w:p>
    <w:p>
      <w:pPr>
        <w:pStyle w:val="ListBullet"/>
        <w:spacing w:after="40"/>
      </w:pPr>
      <w:r>
        <w:rPr>
          <w:rFonts w:ascii="Aptos" w:hAnsi="Aptos"/>
        </w:rPr>
        <w:t>Should the Week 3 memo emphasize Fari as the primary product and Senpai as the secondary grounding example, as described in the plan?</w:t>
      </w:r>
    </w:p>
    <w:p>
      <w:pPr>
        <w:pStyle w:val="Heading1"/>
        <w:keepNext/>
      </w:pPr>
      <w:r>
        <w:t>Source Basis</w:t>
      </w:r>
    </w:p>
    <w:p>
      <w:r>
        <w:rPr>
          <w:rFonts w:ascii="Aptos" w:hAnsi="Aptos"/>
        </w:rPr>
        <w:t xml:space="preserve">This draft is based on the Week 3 section, deliverables index, quality standards, and evaluation rubric in </w:t>
      </w:r>
      <w:r>
        <w:rPr>
          <w:rFonts w:ascii="Aptos" w:hAnsi="Aptos"/>
          <w:b/>
        </w:rPr>
        <w:t>Yihang Sun ML &amp; NN Analyst Internship Plan v1.0</w:t>
      </w:r>
      <w:r>
        <w:rPr>
          <w:rFonts w:ascii="Aptos" w:hAnsi="Aptos"/>
        </w:rPr>
        <w:t>. Exact numeric performance targets and dataset-size requirements are not specified in the plan; where this draft proposes implementation details, they are labeled as proposed starting points for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07070"/>
        <w:sz w:val="16"/>
      </w:rPr>
      <w:t>Prepared for Yihang Sun | Based on the InGen Internship Program Plan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07070"/>
        <w:sz w:val="16"/>
      </w:rPr>
      <w:t>WEEK 3 EXECUTION PLAN  | 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Heading">
    <w:name w:val="Small Heading"/>
    <w:pPr>
      <w:spacing w:before="100" w:after="40"/>
    </w:pPr>
    <w:rPr>
      <w:rFonts w:ascii="Aptos" w:hAnsi="Aptos"/>
      <w:b/>
      <w:color w:val="2F75B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Fine-Tuning and RAG Execution Plan</dc:title>
  <dc:subject>Draft tasks, execution steps, expected outcomes, and completion criteria</dc:subject>
  <dc:creator>Yihang Sun</dc:creator>
  <cp:keywords>Week 3, QLoRA, RAG, FAISS, safety evaluation, InGen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