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10d063bb357577125bce2ec5cd06548baebd03f"/>
    <w:p>
      <w:pPr>
        <w:pStyle w:val="Heading1"/>
      </w:pPr>
      <w:r>
        <w:t xml:space="preserve">W01 — InGen Dynamics Product &amp; PIC 2.0 Landscape</w:t>
      </w:r>
    </w:p>
    <w:p>
      <w:pPr>
        <w:pStyle w:val="FirstParagraph"/>
      </w:pPr>
      <w:r>
        <w:t xml:space="preserve">Sources: public pages at</w:t>
      </w:r>
      <w:r>
        <w:t xml:space="preserve"> </w:t>
      </w:r>
      <w:r>
        <w:rPr>
          <w:rStyle w:val="VerbatimChar"/>
        </w:rPr>
        <w:t xml:space="preserve">ingendynamics.com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(homepage),</w:t>
      </w:r>
      <w:r>
        <w:t xml:space="preserve"> </w:t>
      </w:r>
      <w:r>
        <w:rPr>
          <w:rStyle w:val="VerbatimChar"/>
        </w:rPr>
        <w:t xml:space="preserve">/fari.html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/senpai.html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/sentinel.html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/rover.html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/humanoid.html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/origami.html</w:t>
      </w:r>
      <w:r>
        <w:t xml:space="preserve">. Accessed 2026-07-14/15. All figures below are the site’s own stated</w:t>
      </w:r>
      <w:r>
        <w:t xml:space="preserve"> </w:t>
      </w:r>
      <w:r>
        <w:t xml:space="preserve">“design targets,”</w:t>
      </w:r>
      <w:r>
        <w:t xml:space="preserve"> </w:t>
      </w:r>
      <w:r>
        <w:t xml:space="preserve">not independently validated results — noted explicitly where relevant.</w:t>
      </w:r>
    </w:p>
    <w:bookmarkStart w:id="9" w:name="fari-eldercare-companion-robot"/>
    <w:p>
      <w:pPr>
        <w:pStyle w:val="Heading2"/>
      </w:pPr>
      <w:r>
        <w:t xml:space="preserve">1. Fari — Eldercare Companion Robot</w:t>
      </w:r>
    </w:p>
    <w:p>
      <w:pPr>
        <w:pStyle w:val="FirstParagraph"/>
      </w:pPr>
      <w:r>
        <w:rPr>
          <w:b/>
          <w:bCs/>
        </w:rPr>
        <w:t xml:space="preserve">Target use case:</w:t>
      </w:r>
      <w:r>
        <w:t xml:space="preserve"> </w:t>
      </w:r>
      <w:r>
        <w:t xml:space="preserve">Health monitoring and companionship for elderly individuals, positioned for home care and care-facility settings (</w:t>
      </w:r>
      <w:r>
        <w:t xml:space="preserve">“companion every elder deserves”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Primary ML inference type:</w:t>
      </w:r>
      <w:r>
        <w:t xml:space="preserve"> </w:t>
      </w:r>
      <w:r>
        <w:t xml:space="preserve">Mixed —</w:t>
      </w:r>
      <w:r>
        <w:t xml:space="preserve"> </w:t>
      </w:r>
      <w:r>
        <w:rPr>
          <w:b/>
          <w:bCs/>
        </w:rPr>
        <w:t xml:space="preserve">classification</w:t>
      </w:r>
      <w:r>
        <w:t xml:space="preserve"> </w:t>
      </w:r>
      <w:r>
        <w:t xml:space="preserve">for health-event and fall detection,</w:t>
      </w:r>
      <w:r>
        <w:t xml:space="preserve"> </w:t>
      </w:r>
      <w:r>
        <w:rPr>
          <w:b/>
          <w:bCs/>
        </w:rPr>
        <w:t xml:space="preserve">generation</w:t>
      </w:r>
      <w:r>
        <w:t xml:space="preserve"> </w:t>
      </w:r>
      <w:r>
        <w:t xml:space="preserve">for conversational companionship. Runs on Jetson Orin NX at the edge.</w:t>
      </w:r>
    </w:p>
    <w:p>
      <w:pPr>
        <w:pStyle w:val="BodyText"/>
      </w:pPr>
      <w:r>
        <w:rPr>
          <w:b/>
          <w:bCs/>
        </w:rPr>
        <w:t xml:space="preserve">Key constraint:</w:t>
      </w:r>
      <w:r>
        <w:t xml:space="preserve"> </w:t>
      </w:r>
      <w:r>
        <w:t xml:space="preserve">Safety and dignity. Fari carries SEOM at λ=10.0 — the highest safety weighting InGen states across its product line — and is explicitly designed so</w:t>
      </w:r>
      <w:r>
        <w:t xml:space="preserve"> </w:t>
      </w:r>
      <w:r>
        <w:t xml:space="preserve">“humans retain decision-making control; AI serves an advisory role.”</w:t>
      </w:r>
      <w:r>
        <w:t xml:space="preserve"> </w:t>
      </w:r>
      <w:r>
        <w:t xml:space="preserve">Regulatory framing centers on NHS-aligned standards and data privacy for a vulnerable user population.</w:t>
      </w:r>
    </w:p>
    <w:bookmarkEnd w:id="9"/>
    <w:bookmarkStart w:id="10" w:name="senpai-ai-educational-companion"/>
    <w:p>
      <w:pPr>
        <w:pStyle w:val="Heading2"/>
      </w:pPr>
      <w:r>
        <w:t xml:space="preserve">2. Senpai — AI Educational Companion</w:t>
      </w:r>
    </w:p>
    <w:p>
      <w:pPr>
        <w:pStyle w:val="FirstParagraph"/>
      </w:pPr>
      <w:r>
        <w:rPr>
          <w:b/>
          <w:bCs/>
        </w:rPr>
        <w:t xml:space="preserve">Target use case:</w:t>
      </w:r>
      <w:r>
        <w:t xml:space="preserve"> </w:t>
      </w:r>
      <w:r>
        <w:t xml:space="preserve">K-12 and early learners, including six dedicated modes for special educational needs (SEND).</w:t>
      </w:r>
    </w:p>
    <w:p>
      <w:pPr>
        <w:pStyle w:val="BodyText"/>
      </w:pPr>
      <w:r>
        <w:rPr>
          <w:b/>
          <w:bCs/>
        </w:rPr>
        <w:t xml:space="preserve">Primary ML inference type:</w:t>
      </w:r>
      <w:r>
        <w:t xml:space="preserve"> </w:t>
      </w:r>
      <w:r>
        <w:rPr>
          <w:b/>
          <w:bCs/>
        </w:rPr>
        <w:t xml:space="preserve">Generation</w:t>
      </w:r>
      <w:r>
        <w:t xml:space="preserve"> </w:t>
      </w:r>
      <w:r>
        <w:t xml:space="preserve">(multilingual instruction and tutoring dialogue, 40+ languages) with a</w:t>
      </w:r>
      <w:r>
        <w:t xml:space="preserve"> </w:t>
      </w:r>
      <w:r>
        <w:rPr>
          <w:b/>
          <w:bCs/>
        </w:rPr>
        <w:t xml:space="preserve">classification</w:t>
      </w:r>
      <w:r>
        <w:t xml:space="preserve"> </w:t>
      </w:r>
      <w:r>
        <w:t xml:space="preserve">component for selecting the appropriate SEND adaptation mode per student.</w:t>
      </w:r>
    </w:p>
    <w:p>
      <w:pPr>
        <w:pStyle w:val="BodyText"/>
      </w:pPr>
      <w:r>
        <w:rPr>
          <w:b/>
          <w:bCs/>
        </w:rPr>
        <w:t xml:space="preserve">Key constraint:</w:t>
      </w:r>
      <w:r>
        <w:t xml:space="preserve"> </w:t>
      </w:r>
      <w:r>
        <w:t xml:space="preserve">Groundedness and age-appropriateness. SEOM is configured at λ=4.0 (lower than Fari, reflecting a less physically vulnerable population) with 12 safety rules aimed at keeping responses educationally accurate and appropriate for children.</w:t>
      </w:r>
    </w:p>
    <w:bookmarkEnd w:id="10"/>
    <w:bookmarkStart w:id="11" w:name="Xd3bc5096189a22f6a384274cbf76da609f3215c"/>
    <w:p>
      <w:pPr>
        <w:pStyle w:val="Heading2"/>
      </w:pPr>
      <w:r>
        <w:t xml:space="preserve">3. Sentinel Prime AI — Enterprise Physical Security</w:t>
      </w:r>
    </w:p>
    <w:p>
      <w:pPr>
        <w:pStyle w:val="FirstParagraph"/>
      </w:pPr>
      <w:r>
        <w:rPr>
          <w:b/>
          <w:bCs/>
        </w:rPr>
        <w:t xml:space="preserve">Target use case:</w:t>
      </w:r>
      <w:r>
        <w:t xml:space="preserve"> </w:t>
      </w:r>
      <w:r>
        <w:t xml:space="preserve">SOC operators and security supervisors across critical infrastructure, healthcare, retail, data centers, government, and transportation.</w:t>
      </w:r>
    </w:p>
    <w:p>
      <w:pPr>
        <w:pStyle w:val="BodyText"/>
      </w:pPr>
      <w:r>
        <w:rPr>
          <w:b/>
          <w:bCs/>
        </w:rPr>
        <w:t xml:space="preserve">Primary ML inference type:</w:t>
      </w:r>
      <w:r>
        <w:t xml:space="preserve"> </w:t>
      </w:r>
      <w:r>
        <w:rPr>
          <w:b/>
          <w:bCs/>
        </w:rPr>
        <w:t xml:space="preserve">Classification</w:t>
      </w:r>
      <w:r>
        <w:t xml:space="preserve"> </w:t>
      </w:r>
      <w:r>
        <w:t xml:space="preserve">— 27 simultaneous detection functions (weapons, aggression, face recognition, ANPR, fire/hazmat, abandoned objects) via a five-model ensemble (VisionNet, ThermalNet, PoseNet, AudioNet, plus a STUM uncertainty gate) fusing 14 sensor modalities.</w:t>
      </w:r>
    </w:p>
    <w:p>
      <w:pPr>
        <w:pStyle w:val="BodyText"/>
      </w:pPr>
      <w:r>
        <w:rPr>
          <w:b/>
          <w:bCs/>
        </w:rPr>
        <w:t xml:space="preserve">Key constraint:</w:t>
      </w:r>
      <w:r>
        <w:t xml:space="preserve"> </w:t>
      </w:r>
      <w:r>
        <w:t xml:space="preserve">Latency and false-alert suppression. Stated target is &lt;200ms end-to-end inference with the STUM gate explicitly built to suppress low-confidence detections before they reach a human operator —</w:t>
      </w:r>
      <w:r>
        <w:t xml:space="preserve"> </w:t>
      </w:r>
      <w:r>
        <w:t xml:space="preserve">“AI advises; human decides”</w:t>
      </w:r>
      <w:r>
        <w:t xml:space="preserve"> </w:t>
      </w:r>
      <w:r>
        <w:t xml:space="preserve">is stated as a hardware-enforced (not just software) SEOM rule.</w:t>
      </w:r>
    </w:p>
    <w:bookmarkEnd w:id="11"/>
    <w:bookmarkStart w:id="12" w:name="Xd3cd00fa1c2289f59694b7ac8779d9472897296"/>
    <w:p>
      <w:pPr>
        <w:pStyle w:val="Heading2"/>
      </w:pPr>
      <w:r>
        <w:t xml:space="preserve">4. Aido Rover — Autonomous Outdoor Patrol &amp; Inspection</w:t>
      </w:r>
    </w:p>
    <w:p>
      <w:pPr>
        <w:pStyle w:val="FirstParagraph"/>
      </w:pPr>
      <w:r>
        <w:rPr>
          <w:b/>
          <w:bCs/>
        </w:rPr>
        <w:t xml:space="preserve">Target use case:</w:t>
      </w:r>
      <w:r>
        <w:t xml:space="preserve"> </w:t>
      </w:r>
      <w:r>
        <w:t xml:space="preserve">Outdoor perimeter security and infrastructure inspection — solar/wind farms, pipelines, airports, agriculture — where continuous human coverage isn’t practical.</w:t>
      </w:r>
    </w:p>
    <w:p>
      <w:pPr>
        <w:pStyle w:val="BodyText"/>
      </w:pPr>
      <w:r>
        <w:rPr>
          <w:b/>
          <w:bCs/>
        </w:rPr>
        <w:t xml:space="preserve">Primary ML inference type:</w:t>
      </w:r>
      <w:r>
        <w:t xml:space="preserve"> </w:t>
      </w:r>
      <w:r>
        <w:rPr>
          <w:b/>
          <w:bCs/>
        </w:rPr>
        <w:t xml:space="preserve">Classification</w:t>
      </w:r>
      <w:r>
        <w:t xml:space="preserve"> </w:t>
      </w:r>
      <w:r>
        <w:t xml:space="preserve">— 25 AI detection functions spanning perimeter security, behavior analysis, vehicle classification, and infrastructure-anomaly detection (solar panel defects, gas leaks, crop health), fed by a 14-sensor fusion stack (LiDAR, thermal, multispectral, RGB, acoustic, radar, gas).</w:t>
      </w:r>
    </w:p>
    <w:p>
      <w:pPr>
        <w:pStyle w:val="BodyText"/>
      </w:pPr>
      <w:r>
        <w:rPr>
          <w:b/>
          <w:bCs/>
        </w:rPr>
        <w:t xml:space="preserve">Key constraint:</w:t>
      </w:r>
      <w:r>
        <w:t xml:space="preserve"> </w:t>
      </w:r>
      <w:r>
        <w:t xml:space="preserve">Reliability under uncontrolled outdoor conditions. Site explicitly states</w:t>
      </w:r>
      <w:r>
        <w:t xml:space="preserve"> </w:t>
      </w:r>
      <w:r>
        <w:t xml:space="preserve">“uncertainty scoring before any autonomous action,”</w:t>
      </w:r>
      <w:r>
        <w:t xml:space="preserve"> </w:t>
      </w:r>
      <w:r>
        <w:t xml:space="preserve">and — notably — critical safety functions are designed onto a</w:t>
      </w:r>
      <w:r>
        <w:t xml:space="preserve"> </w:t>
      </w:r>
      <w:r>
        <w:rPr>
          <w:b/>
          <w:bCs/>
        </w:rPr>
        <w:t xml:space="preserve">dedicated hardware microcontroller independent of the main AI compute stack</w:t>
      </w:r>
      <w:r>
        <w:t xml:space="preserve">, so a software/AI failure can’t disable the safety layer. Designed for fleet coordination up to 12 units.</w:t>
      </w:r>
    </w:p>
    <w:bookmarkEnd w:id="12"/>
    <w:bookmarkStart w:id="13" w:name="Xd65c76af9ca1bf0aa12eb5e5740415fb902f9a8"/>
    <w:p>
      <w:pPr>
        <w:pStyle w:val="Heading2"/>
      </w:pPr>
      <w:r>
        <w:t xml:space="preserve">5. Aido Humanoid — General-Purpose Bipedal Robot</w:t>
      </w:r>
    </w:p>
    <w:p>
      <w:pPr>
        <w:pStyle w:val="FirstParagraph"/>
      </w:pPr>
      <w:r>
        <w:rPr>
          <w:b/>
          <w:bCs/>
        </w:rPr>
        <w:t xml:space="preserve">Target use case:</w:t>
      </w:r>
      <w:r>
        <w:t xml:space="preserve"> </w:t>
      </w:r>
      <w:r>
        <w:t xml:space="preserve">Healthcare, eldercare, manufacturing, and logistics — human-centric environments (doorways, stairs, shared workspaces), no environment modification assumed. R&amp;D stage, not yet in the same</w:t>
      </w:r>
      <w:r>
        <w:t xml:space="preserve"> </w:t>
      </w:r>
      <w:r>
        <w:t xml:space="preserve">“in development”</w:t>
      </w:r>
      <w:r>
        <w:t xml:space="preserve"> </w:t>
      </w:r>
      <w:r>
        <w:t xml:space="preserve">tier as the other four.</w:t>
      </w:r>
    </w:p>
    <w:p>
      <w:pPr>
        <w:pStyle w:val="BodyText"/>
      </w:pPr>
      <w:r>
        <w:rPr>
          <w:b/>
          <w:bCs/>
        </w:rPr>
        <w:t xml:space="preserve">Primary ML inference type:</w:t>
      </w:r>
      <w:r>
        <w:t xml:space="preserve"> </w:t>
      </w:r>
      <w:r>
        <w:rPr>
          <w:b/>
          <w:bCs/>
        </w:rPr>
        <w:t xml:space="preserve">Planning / policy</w:t>
      </w:r>
      <w:r>
        <w:t xml:space="preserve"> </w:t>
      </w:r>
      <w:r>
        <w:t xml:space="preserve">— a three-layer stack: GR00T N1.6 foundation model → GRPO fine-tuning for manipulation/locomotion policy → Origami AI platform integration. This is the one InGen platform whose core ML problem is sequential decision-making/control rather than perception classification.</w:t>
      </w:r>
    </w:p>
    <w:p>
      <w:pPr>
        <w:pStyle w:val="BodyText"/>
      </w:pPr>
      <w:r>
        <w:rPr>
          <w:b/>
          <w:bCs/>
        </w:rPr>
        <w:t xml:space="preserve">Key constraint:</w:t>
      </w:r>
      <w:r>
        <w:t xml:space="preserve"> </w:t>
      </w:r>
      <w:r>
        <w:t xml:space="preserve">Real-time safety under physical human contact. 12 hardwired SEOM rules (5N max force limiting, proxemic zones, consent detection, fall prevention) with a stated &lt;2ms E-stop latency — the tightest latency figure of any InGen platform, reflecting the consequence severity of a 70kg bipedal robot operating near people.</w:t>
      </w:r>
    </w:p>
    <w:bookmarkEnd w:id="13"/>
    <w:bookmarkStart w:id="14" w:name="pic-2.0-architecture-implications"/>
    <w:p>
      <w:pPr>
        <w:pStyle w:val="Heading2"/>
      </w:pPr>
      <w:r>
        <w:t xml:space="preserve">6. PIC 2.0 Architecture Implications</w:t>
      </w:r>
    </w:p>
    <w:p>
      <w:pPr>
        <w:pStyle w:val="FirstParagraph"/>
      </w:pPr>
      <w:r>
        <w:t xml:space="preserve">InGen’s</w:t>
      </w:r>
      <w:r>
        <w:t xml:space="preserve"> </w:t>
      </w:r>
      <w:r>
        <w:rPr>
          <w:rStyle w:val="VerbatimChar"/>
        </w:rPr>
        <w:t xml:space="preserve">/origami.html</w:t>
      </w:r>
      <w:r>
        <w:t xml:space="preserve"> </w:t>
      </w:r>
      <w:r>
        <w:t xml:space="preserve">page publicly discloses PIC 2.0 as a</w:t>
      </w:r>
      <w:r>
        <w:t xml:space="preserve"> </w:t>
      </w:r>
      <w:r>
        <w:rPr>
          <w:b/>
          <w:bCs/>
        </w:rPr>
        <w:t xml:space="preserve">sequential six-model pipeline</w:t>
      </w:r>
      <w:r>
        <w:t xml:space="preserve">, each model owning one stage of a sensor-to-action loop, targeting ~142ms end-to-end on edge hardware with no cloud dependency: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Design-target 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AMDC</w:t>
            </w:r>
          </w:p>
        </w:tc>
        <w:tc>
          <w:tcPr/>
          <w:p>
            <w:pPr>
              <w:pStyle w:val="Compact"/>
            </w:pPr>
            <w:r>
              <w:t xml:space="preserve">Sensor calibration</w:t>
            </w:r>
          </w:p>
        </w:tc>
        <w:tc>
          <w:tcPr/>
          <w:p>
            <w:pPr>
              <w:pStyle w:val="Compact"/>
            </w:pPr>
            <w:r>
              <w:t xml:space="preserve">~8ms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STUM</w:t>
            </w:r>
          </w:p>
        </w:tc>
        <w:tc>
          <w:tcPr/>
          <w:p>
            <w:pPr>
              <w:pStyle w:val="Compact"/>
            </w:pPr>
            <w:r>
              <w:t xml:space="preserve">Uncertainty quantification</w:t>
            </w:r>
          </w:p>
        </w:tc>
        <w:tc>
          <w:tcPr/>
          <w:p>
            <w:pPr>
              <w:pStyle w:val="Compact"/>
            </w:pPr>
            <w:r>
              <w:t xml:space="preserve">~12ms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HTD-IRL</w:t>
            </w:r>
          </w:p>
        </w:tc>
        <w:tc>
          <w:tcPr/>
          <w:p>
            <w:pPr>
              <w:pStyle w:val="Compact"/>
            </w:pPr>
            <w:r>
              <w:t xml:space="preserve">Task planning</w:t>
            </w:r>
          </w:p>
        </w:tc>
        <w:tc>
          <w:tcPr/>
          <w:p>
            <w:pPr>
              <w:pStyle w:val="Compact"/>
            </w:pPr>
            <w:r>
              <w:t xml:space="preserve">~38ms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GRPO</w:t>
            </w:r>
          </w:p>
        </w:tc>
        <w:tc>
          <w:tcPr/>
          <w:p>
            <w:pPr>
              <w:pStyle w:val="Compact"/>
            </w:pPr>
            <w:r>
              <w:t xml:space="preserve">Policy decision</w:t>
            </w:r>
          </w:p>
        </w:tc>
        <w:tc>
          <w:tcPr/>
          <w:p>
            <w:pPr>
              <w:pStyle w:val="Compact"/>
            </w:pPr>
            <w:r>
              <w:t xml:space="preserve">~12ms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SEOM</w:t>
            </w:r>
          </w:p>
        </w:tc>
        <w:tc>
          <w:tcPr/>
          <w:p>
            <w:pPr>
              <w:pStyle w:val="Compact"/>
            </w:pPr>
            <w:r>
              <w:t xml:space="preserve">Safety gate</w:t>
            </w:r>
          </w:p>
        </w:tc>
        <w:tc>
          <w:tcPr/>
          <w:p>
            <w:pPr>
              <w:pStyle w:val="Compact"/>
            </w:pPr>
            <w:r>
              <w:t xml:space="preserve">&lt;1ms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CRL-MRS</w:t>
            </w:r>
          </w:p>
        </w:tc>
        <w:tc>
          <w:tcPr/>
          <w:p>
            <w:pPr>
              <w:pStyle w:val="Compact"/>
            </w:pPr>
            <w:r>
              <w:t xml:space="preserve">Fleet coordination</w:t>
            </w:r>
          </w:p>
        </w:tc>
        <w:tc>
          <w:tcPr/>
          <w:p>
            <w:pPr>
              <w:pStyle w:val="Compact"/>
            </w:pPr>
            <w:r>
              <w:t xml:space="preserve">~60ms</w:t>
            </w:r>
          </w:p>
        </w:tc>
      </w:tr>
    </w:tbl>
    <w:p>
      <w:pPr>
        <w:pStyle w:val="BodyText"/>
      </w:pPr>
      <w:r>
        <w:t xml:space="preserve">Three implications for how the five products above actually use this shared stack: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Every product reuses the same six-model spine, but tunes SEOM’s λ weight to the vulnerability of its user population</w:t>
      </w:r>
      <w:r>
        <w:t xml:space="preserve"> </w:t>
      </w:r>
      <w:r>
        <w:t xml:space="preserve">— Fari and Aido Humanoid (physical contact with vulnerable people) sit at λ=10.0, Senpai (children, but no physical contact) sits lower at λ=4.0. Safety strictness is a per-product configuration knob on a shared safety-training mechanism, not a per-product safety feature.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pipeline is explicitly edge-resident and cloud-independent</w:t>
      </w:r>
      <w:r>
        <w:t xml:space="preserve"> </w:t>
      </w:r>
      <w:r>
        <w:t xml:space="preserve">— this is consistent across all five products (Sentinel’s &lt;200ms target, Aido Humanoid’s &lt;2ms e-stop, Aido Rover’s hardware-independent safety cutoff) and is the single constraint that most differentiates this stack from a typical cloud-inference ML product: the safety gate (SEOM) and the uncertainty gate (STUM) both have to run inline, on-device, before any actuation — not as an offline evaluation step.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AMDC (sensor calibration) has no clean analogue in software-only, non-embedded ML systems</w:t>
      </w:r>
      <w:r>
        <w:t xml:space="preserve"> </w:t>
      </w:r>
      <w:r>
        <w:t xml:space="preserve">— it’s the one PIC 2.0 stage that exists specifically because physical sensors drift with temperature/vibration/wear; this is the clearest single signal that PIC 2.0 was designed for embedded/physical deployment first, software-agentic deployment second (relevant directly to the OpenClaw bridge exercise in</w:t>
      </w:r>
      <w:r>
        <w:t xml:space="preserve"> </w:t>
      </w:r>
      <w:r>
        <w:rPr>
          <w:rStyle w:val="VerbatimChar"/>
        </w:rPr>
        <w:t xml:space="preserve">W01_OpenClaw_Bridge.md</w:t>
      </w:r>
      <w:r>
        <w:t xml:space="preserve">).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2026-07-15T15:34:10Z</dcterms:created>
  <dcterms:modified xsi:type="dcterms:W3CDTF">2026-07-15T15:34:10Z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