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w01-openclaw-pic-2.0-bridge"/>
    <w:p>
      <w:pPr>
        <w:pStyle w:val="Heading1"/>
      </w:pPr>
      <w:r>
        <w:t xml:space="preserve">W01 — OpenClaw → PIC 2.0 Bridge</w:t>
      </w:r>
    </w:p>
    <w:p>
      <w:pPr>
        <w:pStyle w:val="FirstParagraph"/>
      </w:pPr>
      <w:r>
        <w:t xml:space="preserve">This is my own hypothesis, built from InGen’s public</w:t>
      </w:r>
      <w:r>
        <w:t xml:space="preserve"> </w:t>
      </w:r>
      <w:r>
        <w:rPr>
          <w:rStyle w:val="VerbatimChar"/>
        </w:rPr>
        <w:t xml:space="preserve">/origami.html</w:t>
      </w:r>
      <w:r>
        <w:t xml:space="preserve"> </w:t>
      </w:r>
      <w:r>
        <w:t xml:space="preserve">disclosure of the PIC 2.0 pipeline (order, per-stage role, design-target latency — see</w:t>
      </w:r>
      <w:r>
        <w:t xml:space="preserve"> </w:t>
      </w:r>
      <w:r>
        <w:rPr>
          <w:rStyle w:val="VerbatimChar"/>
        </w:rPr>
        <w:t xml:space="preserve">W01_InGen_NN_Landscape.md</w:t>
      </w:r>
      <w:r>
        <w:t xml:space="preserve"> </w:t>
      </w:r>
      <w:r>
        <w:t xml:space="preserve">§6) plus my own OpenClaw architecture. It is not confirmed InGen internal design. OpenClaw is a 6-agent system (Planner, Knowledge, Quant, Risk, Report, Critic — one more agent than PIC 2.0 has models), each backed by an independent FastAPI microservice, orchestrated by the Planner over deterministic HTTP calls rather than a trained control policy.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PIC 2.0 model</w:t>
            </w:r>
          </w:p>
        </w:tc>
        <w:tc>
          <w:tcPr/>
          <w:p>
            <w:pPr>
              <w:pStyle w:val="Compact"/>
            </w:pPr>
            <w:r>
              <w:t xml:space="preserve">Stage role (public)</w:t>
            </w:r>
          </w:p>
        </w:tc>
        <w:tc>
          <w:tcPr/>
          <w:p>
            <w:pPr>
              <w:pStyle w:val="Compact"/>
            </w:pPr>
            <w:r>
              <w:t xml:space="preserve">Closest OpenClaw component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HTD-IRL</w:t>
            </w:r>
          </w:p>
        </w:tc>
        <w:tc>
          <w:tcPr/>
          <w:p>
            <w:pPr>
              <w:pStyle w:val="Compact"/>
            </w:pPr>
            <w:r>
              <w:t xml:space="preserve">Hierarchical task planning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Planner agent</w:t>
            </w:r>
          </w:p>
        </w:tc>
        <w:tc>
          <w:tcPr/>
          <w:p>
            <w:pPr>
              <w:pStyle w:val="Compact"/>
            </w:pPr>
            <w:r>
              <w:t xml:space="preserve">Both decompose one incoming request into an ordered set of downstream calls: HTD-IRL turns a goal into a multi-step robot task; Planner classifies intent (DOC_QA / QUANT_QUERY / RISK_QUERY / MIXED_QUERY / report) and routes to the specific agents needed for that intent. Strongest match in the table — same functional slot (decomposition → routing), different substrate (physical sub-tasks vs. software agent calls).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SEOM</w:t>
            </w:r>
          </w:p>
        </w:tc>
        <w:tc>
          <w:tcPr/>
          <w:p>
            <w:pPr>
              <w:pStyle w:val="Compact"/>
            </w:pPr>
            <w:r>
              <w:t xml:space="preserve">Hardware-enforced safety gate before actuation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 agent</w:t>
            </w:r>
          </w:p>
        </w:tc>
        <w:tc>
          <w:tcPr/>
          <w:p>
            <w:pPr>
              <w:pStyle w:val="Compact"/>
            </w:pPr>
            <w:r>
              <w:t xml:space="preserve">Both are the mandatory last-stage gate before output leaves the system: SEOM blocks unsafe physical actions via rules trained into the model itself; Critic runs a 5-point checklist (evidence coverage, data freshness, conflict of interest, overstatement detection, action-boundary declaration) and can block report release. Second-strongest match — both are</w:t>
            </w:r>
            <w:r>
              <w:t xml:space="preserve"> </w:t>
            </w:r>
            <w:r>
              <w:t xml:space="preserve">“nothing ships without passing this stage,”</w:t>
            </w:r>
            <w:r>
              <w:t xml:space="preserve"> </w:t>
            </w:r>
            <w:r>
              <w:t xml:space="preserve">though SEOM is trained-in (structural) while Critic is a runtime rule check (a real, worth-stating difference, not just a naming coincidence).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STUM</w:t>
            </w:r>
          </w:p>
        </w:tc>
        <w:tc>
          <w:tcPr/>
          <w:p>
            <w:pPr>
              <w:pStyle w:val="Compact"/>
            </w:pPr>
            <w:r>
              <w:t xml:space="preserve">Uncertainty quantification that gates downstream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agent</w:t>
            </w:r>
          </w:p>
        </w:tc>
        <w:tc>
          <w:tcPr/>
          <w:p>
            <w:pPr>
              <w:pStyle w:val="Compact"/>
            </w:pPr>
            <w:r>
              <w:t xml:space="preserve">Loose match. STUM scores</w:t>
            </w:r>
            <w:r>
              <w:t xml:space="preserve"> </w:t>
            </w:r>
            <w:r>
              <w:rPr>
                <w:i/>
                <w:iCs/>
              </w:rPr>
              <w:t xml:space="preserve">perceptual</w:t>
            </w:r>
            <w:r>
              <w:t xml:space="preserve"> </w:t>
            </w:r>
            <w:r>
              <w:t xml:space="preserve">confidence (e.g.,</w:t>
            </w:r>
            <w:r>
              <w:t xml:space="preserve"> </w:t>
            </w:r>
            <w:r>
              <w:t xml:space="preserve">“how sure is this sensor reading”</w:t>
            </w:r>
            <w:r>
              <w:t xml:space="preserve">) and can make the system hedge or escalate. Risk agent scores</w:t>
            </w:r>
            <w:r>
              <w:t xml:space="preserve"> </w:t>
            </w:r>
            <w:r>
              <w:rPr>
                <w:i/>
                <w:iCs/>
              </w:rPr>
              <w:t xml:space="preserve">financial</w:t>
            </w:r>
            <w:r>
              <w:t xml:space="preserve"> </w:t>
            </w:r>
            <w:r>
              <w:t xml:space="preserve">uncertainty (max drawdown, beta, scenario stress tests) and outputs a named risk level (LOW/MODERATE/HIGH/CRITICAL) that downstream reporting must respect. Same structural role —</w:t>
            </w:r>
            <w:r>
              <w:t xml:space="preserve"> </w:t>
            </w:r>
            <w:r>
              <w:t xml:space="preserve">“quantify confidence, gate action on it”</w:t>
            </w:r>
            <w:r>
              <w:t xml:space="preserve"> </w:t>
            </w:r>
            <w:r>
              <w:t xml:space="preserve">— but Risk agent’s uncertainty is about market exposure, not sensor trust, so this is a functional analogy, not an architectural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GRPO</w:t>
            </w:r>
          </w:p>
        </w:tc>
        <w:tc>
          <w:tcPr/>
          <w:p>
            <w:pPr>
              <w:pStyle w:val="Compact"/>
            </w:pPr>
            <w:r>
              <w:t xml:space="preserve">Learned policy decision (RL fine-tuned)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 agent</w:t>
            </w:r>
            <w:r>
              <w:t xml:space="preserve"> </w:t>
            </w:r>
            <w:r>
              <w:t xml:space="preserve">— partial, flagged gap</w:t>
            </w:r>
          </w:p>
        </w:tc>
        <w:tc>
          <w:tcPr/>
          <w:p>
            <w:pPr>
              <w:pStyle w:val="Compact"/>
            </w:pPr>
            <w:r>
              <w:t xml:space="preserve">Weakest confident match in the table. Quant agent produces a composite score mapping to a rating (POSITIVE/BALANCED/NEUTRAL/CAUTION) — a</w:t>
            </w:r>
            <w:r>
              <w:t xml:space="preserve"> </w:t>
            </w:r>
            <w:r>
              <w:rPr>
                <w:i/>
                <w:iCs/>
              </w:rPr>
              <w:t xml:space="preserve">decision output</w:t>
            </w:r>
            <w:r>
              <w:t xml:space="preserve">, which is GRPO’s role structurally. But GRPO is explicitly an RL-trained policy (InGen states</w:t>
            </w:r>
            <w:r>
              <w:t xml:space="preserve"> </w:t>
            </w:r>
            <w:r>
              <w:rPr>
                <w:rStyle w:val="VerbatimChar"/>
              </w:rPr>
              <w:t xml:space="preserve">N=16, γ=0.985</w:t>
            </w:r>
            <w:r>
              <w:t xml:space="preserve"> </w:t>
            </w:r>
            <w:r>
              <w:t xml:space="preserve">fine-tuning parameters publicly on the Aido Humanoid page), while Quant agent’s scoring is a deterministic weighted formula over technical + fundamental ratios. OpenClaw has no RL-trained decision component anywhere in its stack — this is a genuine capability gap, not just an imperfect analogy.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AMDC</w:t>
            </w:r>
          </w:p>
        </w:tc>
        <w:tc>
          <w:tcPr/>
          <w:p>
            <w:pPr>
              <w:pStyle w:val="Compact"/>
            </w:pPr>
            <w:r>
              <w:t xml:space="preserve">Real-time sensor drift calibration (14 sensor types, 100Hz)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OpenClaw analogue</w:t>
            </w:r>
          </w:p>
        </w:tc>
        <w:tc>
          <w:tcPr/>
          <w:p>
            <w:pPr>
              <w:pStyle w:val="Compact"/>
            </w:pPr>
            <w:r>
              <w:t xml:space="preserve">I don’t think this maps to anything in OpenClaw, and I think that’s the correct conclusion rather than a gap to paper over. AMDC exists because physical sensors drift with temperature/vibration/wear over time. OpenClaw’s inputs (SEC EDGAR filings, yfinance price data) don’t drift in that sense — they’re either correct-at-fetch-time or stale, which OpenClaw already handles differently (the Critic’s data-freshness check, not a calibration model). This is the clearest evidence that PIC 2.0’s six-model design was shaped by embedded/physical constraints that a pure software agent stack never has to solve.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CRL-MRS</w:t>
            </w:r>
          </w:p>
        </w:tc>
        <w:tc>
          <w:tcPr/>
          <w:p>
            <w:pPr>
              <w:pStyle w:val="Compact"/>
            </w:pPr>
            <w:r>
              <w:t xml:space="preserve">Multi-robot fleet coordination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agent</w:t>
            </w:r>
            <w:r>
              <w:t xml:space="preserve"> </w:t>
            </w:r>
            <w:r>
              <w:t xml:space="preserve">— partial</w:t>
            </w:r>
          </w:p>
        </w:tc>
        <w:tc>
          <w:tcPr/>
          <w:p>
            <w:pPr>
              <w:pStyle w:val="Compact"/>
            </w:pPr>
            <w:r>
              <w:t xml:space="preserve">Structural echo, not a real match. Both take multiple parallel outputs and merge them into one coherent deliverable (CRL-MRS: multiple physical robots’ state/actions → one fleet plan; Report: multiple agents’ JSON payloads → one templated markdown report). But CRL-MRS is coordinating</w:t>
            </w:r>
            <w:r>
              <w:t xml:space="preserve"> </w:t>
            </w:r>
            <w:r>
              <w:rPr>
                <w:i/>
                <w:iCs/>
              </w:rPr>
              <w:t xml:space="preserve">simultaneously acting physical units</w:t>
            </w:r>
            <w:r>
              <w:t xml:space="preserve"> </w:t>
            </w:r>
            <w:r>
              <w:t xml:space="preserve">toward a shared goal, while Report is a one-shot synthesis step with no coordination problem to solve (nothing OpenClaw does is happening in parallel across independent physical agents). I’d call this</w:t>
            </w:r>
            <w:r>
              <w:t xml:space="preserve"> </w:t>
            </w:r>
            <w:r>
              <w:t xml:space="preserve">“same shape, different problem.”</w:t>
            </w:r>
          </w:p>
        </w:tc>
      </w:tr>
    </w:tbl>
    <w:bookmarkStart w:id="9" w:name="Xc345bac9f601da5ea406a94af101842e73a2d9c"/>
    <w:p>
      <w:pPr>
        <w:pStyle w:val="Heading2"/>
      </w:pPr>
      <w:r>
        <w:t xml:space="preserve">What this hypothesis gets right vs. leaves open</w:t>
      </w:r>
    </w:p>
    <w:p>
      <w:pPr>
        <w:pStyle w:val="FirstParagraph"/>
      </w:pPr>
      <w:r>
        <w:t xml:space="preserve">Three of six mappings (HTD-IRL, SEOM, STUM) hold up as genuine functional analogues — decomposition, final-stage safety gating, and confidence-gated action are patterns that show up in any multi-stage decision system, physical or not, which is presumably why OpenClaw independently converged on something similar. The other three (AMDC, GRPO, CRL-MRS) expose real gaps rather than forced analogies: AMDC has no OpenClaw counterpart because financial data doesn’t drift like physical sensors; GRPO has no counterpart because OpenClaw has no RL-trained policy anywhere in it; CRL-MRS’s</w:t>
      </w:r>
      <w:r>
        <w:t xml:space="preserve"> </w:t>
      </w:r>
      <w:r>
        <w:t xml:space="preserve">“many-to-one”</w:t>
      </w:r>
      <w:r>
        <w:t xml:space="preserve"> </w:t>
      </w:r>
      <w:r>
        <w:t xml:space="preserve">shape superficially resembles Report but solves a coordination problem OpenClaw never encounters. I think the honest scope of what OpenClaw actually demonstrates toward PIC 2.0 is:</w:t>
      </w:r>
      <w:r>
        <w:t xml:space="preserve"> </w:t>
      </w:r>
      <w:r>
        <w:rPr>
          <w:b/>
          <w:bCs/>
        </w:rPr>
        <w:t xml:space="preserve">routing/decomposition and safety-gating transfer directly; uncertainty-gating transfers as a pattern; sensor calibration, RL-trained policy, and multi-agent physical coordination do not exist in OpenClaw today and would be the real net-new skills this internship needs to build</w:t>
      </w:r>
      <w:r>
        <w:t xml:space="preserve"> </w:t>
      </w:r>
      <w:r>
        <w:t xml:space="preserve">— which is consistent with why Week 2 (edge classifier) and Week 3 (fine-tuning) are scoped as new work rather than restatements of OpenClaw.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2026-07-15T15:34:10Z</dcterms:created>
  <dcterms:modified xsi:type="dcterms:W3CDTF">2026-07-15T15:34:10Z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