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6AF32">
      <w:pPr>
        <w:pStyle w:val="15"/>
        <w:spacing w:after="60"/>
        <w:jc w:val="center"/>
      </w:pPr>
      <w:r>
        <w:t>InGen Dynamics ML/NN Analyst Internship</w:t>
      </w:r>
    </w:p>
    <w:p w14:paraId="4B9B5F7A">
      <w:pPr>
        <w:pStyle w:val="2"/>
        <w:spacing w:after="240"/>
        <w:jc w:val="center"/>
      </w:pPr>
      <w:r>
        <w:t>Capstone Report</w:t>
      </w:r>
    </w:p>
    <w:p w14:paraId="5B4120B8">
      <w:pPr>
        <w:spacing w:after="60"/>
        <w:jc w:val="center"/>
      </w:pPr>
      <w:r>
        <w:rPr>
          <w:b/>
          <w:bCs/>
          <w:sz w:val="22"/>
          <w:szCs w:val="22"/>
        </w:rPr>
        <w:t>Yihang Sun</w:t>
      </w:r>
    </w:p>
    <w:p w14:paraId="42A87EC4">
      <w:pPr>
        <w:spacing w:after="60"/>
        <w:jc w:val="center"/>
      </w:pPr>
      <w:r>
        <w:rPr>
          <w:sz w:val="20"/>
          <w:szCs w:val="20"/>
        </w:rPr>
        <w:t>Machine Learning &amp; Neural Network Analyst Intern, InGen Dynamics Inc.</w:t>
      </w:r>
    </w:p>
    <w:p w14:paraId="3CE4CBE1">
      <w:pPr>
        <w:spacing w:after="400"/>
        <w:jc w:val="center"/>
      </w:pPr>
      <w:r>
        <w:rPr>
          <w:sz w:val="20"/>
          <w:szCs w:val="20"/>
        </w:rPr>
        <w:t>Supervisor: Iqbal Patel</w:t>
      </w:r>
    </w:p>
    <w:p w14:paraId="3E42E764">
      <w:pPr>
        <w:pStyle w:val="2"/>
        <w:spacing w:before="360" w:after="160"/>
      </w:pPr>
      <w:r>
        <w:t>Executive Summary</w:t>
      </w:r>
    </w:p>
    <w:p w14:paraId="2C82862B">
      <w:pPr>
        <w:spacing w:after="200" w:line="276" w:lineRule="auto"/>
        <w:jc w:val="both"/>
      </w:pPr>
      <w:r>
        <w:rPr>
          <w:sz w:val="22"/>
          <w:szCs w:val="22"/>
        </w:rPr>
        <w:t>Over four weeks I built two independent, held-out-evaluated ML pipelines against InGen's public product portfolio and PIC 2.0 platform, then synthesized both into a set of per-platform recommendations. The two technical tracks sit at opposite ends of the compute spectrum InGen's five products actually span, which turns out to be the most useful finding of the engagement.</w:t>
      </w:r>
    </w:p>
    <w:p w14:paraId="2FF57C4C">
      <w:pPr>
        <w:spacing w:after="200" w:line="276" w:lineRule="auto"/>
        <w:jc w:val="both"/>
      </w:pPr>
      <w:r>
        <w:rPr>
          <w:b/>
          <w:bCs/>
          <w:sz w:val="22"/>
          <w:szCs w:val="22"/>
        </w:rPr>
        <w:t>Track 1, edge classification (Week 2):</w:t>
      </w:r>
      <w:r>
        <w:rPr>
          <w:sz w:val="22"/>
          <w:szCs w:val="22"/>
        </w:rPr>
        <w:t xml:space="preserve"> a lightweight feedforward classifier on synthetic Aido Rover sensor data reached 92.50% accuracy at full precision, and 92.33% after INT8 quantization, a real but small 0.17-percentage-point cost. The classifier is small enough (17K parameters, 0.066MB) that it clears a 20ms real-time latency budget by roughly 578x even before quantization, so the practical reason to quantize is a 68.6% reduction in file size, useful once a device is running several models on shared memory, not latency.</w:t>
      </w:r>
    </w:p>
    <w:p w14:paraId="43D7D0AB">
      <w:pPr>
        <w:spacing w:after="200" w:line="276" w:lineRule="auto"/>
        <w:jc w:val="both"/>
      </w:pPr>
      <w:r>
        <w:rPr>
          <w:b/>
          <w:bCs/>
          <w:sz w:val="22"/>
          <w:szCs w:val="22"/>
        </w:rPr>
        <w:t>Track 2, fine-tuning and retrieval (Week 3):</w:t>
      </w:r>
      <w:r>
        <w:rPr>
          <w:sz w:val="22"/>
          <w:szCs w:val="22"/>
        </w:rPr>
        <w:t xml:space="preserve"> a QLoRA/DPO fine-tune of Qwen2.5-1.5B-Instruct across three rank/learning-rate configurations selected a best configuration at 0.0082 final eval loss, a FAISS RAG pipeline over 13 eldercare-communication knowledge chunks reached 84.6% hit@1 / 92.3% hit@3 retrieval accuracy, and an independent safety classifier reached 83.3% overall accuracy with zero false negatives on the highest-stakes escalation category. The same evaluation also surfaced a genuine limitation: all three fine-tuned configurations, and the un-fine-tuned base model, missed one indirect self-harm warning sign in the held-out test set, holding across two separate training runs.</w:t>
      </w:r>
    </w:p>
    <w:p w14:paraId="405FA544">
      <w:pPr>
        <w:spacing w:after="200" w:line="276" w:lineRule="auto"/>
        <w:jc w:val="both"/>
      </w:pPr>
      <w:r>
        <w:rPr>
          <w:b/>
          <w:bCs/>
          <w:sz w:val="22"/>
          <w:szCs w:val="22"/>
        </w:rPr>
        <w:t>Platform-level recommendation:</w:t>
      </w:r>
      <w:r>
        <w:rPr>
          <w:sz w:val="22"/>
          <w:szCs w:val="22"/>
        </w:rPr>
        <w:t xml:space="preserve"> InGen's classification-heavy edge products (Sentinel Prime AI, Aido Rover) and its generation-heavy companion products (Fari, Senpai) are not the same deployment problem and should not default to the same on-device-vs-cloud architecture. The edge classifier work in this report is small enough to run comfortably alongside several other models on a single chip; the fine-tuning work needed a dedicated GPU and 4-bit quantization just to train a "small" 1.5B-parameter model. Section 5 develops this into concrete per-platform guidance.</w:t>
      </w:r>
    </w:p>
    <w:p w14:paraId="210DBE07">
      <w:pPr>
        <w:pStyle w:val="2"/>
        <w:spacing w:before="360" w:after="160"/>
      </w:pPr>
      <w:r>
        <w:t>1. InGen Product Landscape and PIC 2.0 Architecture</w:t>
      </w:r>
    </w:p>
    <w:p w14:paraId="16E86B08">
      <w:pPr>
        <w:pStyle w:val="3"/>
        <w:spacing w:before="260" w:after="120"/>
      </w:pPr>
      <w:r>
        <w:t>1.1 The five products</w:t>
      </w:r>
    </w:p>
    <w:p w14:paraId="3D8F55C0">
      <w:pPr>
        <w:spacing w:after="200" w:line="276" w:lineRule="auto"/>
        <w:jc w:val="both"/>
      </w:pPr>
      <w:r>
        <w:rPr>
          <w:sz w:val="22"/>
          <w:szCs w:val="22"/>
        </w:rPr>
        <w:t>InGen describes itself as a company still in development; most published latency, accuracy, and hardware numbers on its product pages are stated design targets rather than independently verified commercial results, and this report treats them as such throughout.</w:t>
      </w:r>
    </w:p>
    <w:p w14:paraId="2423B725">
      <w:pPr>
        <w:spacing w:after="200" w:line="276" w:lineRule="auto"/>
        <w:jc w:val="both"/>
      </w:pPr>
      <w:r>
        <w:rPr>
          <w:b/>
          <w:bCs/>
          <w:sz w:val="22"/>
          <w:szCs w:val="22"/>
        </w:rPr>
        <w:t>Fari</w:t>
      </w:r>
      <w:r>
        <w:rPr>
          <w:sz w:val="22"/>
          <w:szCs w:val="22"/>
        </w:rPr>
        <w:t xml:space="preserve"> (eldercare companion) combines continuous health monitoring (heart rate, SpO2, respiratory rate, fall risk) with conversational companionship for older adults, running locally on a Jetson Orin NX. Its primary ML inference types are classification (health/fall signals) and generation (dialogue), and its key constraint is safety: the product must not diagnose, prescribe, or replace a caregiver, with a stated target of under 3.2 seconds to send a fall alert and a stated safety setting labeled SEOM λ=10.0 on the product page.</w:t>
      </w:r>
    </w:p>
    <w:p w14:paraId="4880C2E6">
      <w:pPr>
        <w:spacing w:after="200" w:line="276" w:lineRule="auto"/>
        <w:jc w:val="both"/>
      </w:pPr>
      <w:r>
        <w:rPr>
          <w:b/>
          <w:bCs/>
          <w:sz w:val="22"/>
          <w:szCs w:val="22"/>
        </w:rPr>
        <w:t>Senpai</w:t>
      </w:r>
      <w:r>
        <w:rPr>
          <w:sz w:val="22"/>
          <w:szCs w:val="22"/>
        </w:rPr>
        <w:t xml:space="preserve"> (educational companion) provides adaptive K-12 and SEND-accommodated tutoring across 40+ languages, combining generation (tutoring dialogue), retrieval (grounding in curriculum content), and classification (estimating whether a student's correct answer reflects genuine understanding or a guess). Its key constraints are groundedness and age-appropriate, accessible interaction, including six named SEND adaptation modes and a stated knowledge graph of more than 8,000 concepts backing its 12 safety rules.</w:t>
      </w:r>
    </w:p>
    <w:p w14:paraId="19279ABF">
      <w:pPr>
        <w:spacing w:after="200" w:line="276" w:lineRule="auto"/>
        <w:jc w:val="both"/>
      </w:pPr>
      <w:r>
        <w:rPr>
          <w:b/>
          <w:bCs/>
          <w:sz w:val="22"/>
          <w:szCs w:val="22"/>
        </w:rPr>
        <w:t>Sentinel Prime AI</w:t>
      </w:r>
      <w:r>
        <w:rPr>
          <w:sz w:val="22"/>
          <w:szCs w:val="22"/>
        </w:rPr>
        <w:t xml:space="preserve"> (enterprise physical security) is the most operationally mature of the five products, running 27 detection functions through a stated Sense - Classify - Gate - Act pipeline: sensor fusion, an ensemble of specialist classifiers across RGB/thermal/pose/acoustic input, an uncertainty gate that suppresses low-confidence detections, and a governance layer before any alert fires. Its key constraints are low latency (a stated under-200ms target) and a low false-alert rate (a stated under-3% target), with 10 safety rules stated to be enforced at the FPGA hardware level rather than in software alone.</w:t>
      </w:r>
    </w:p>
    <w:p w14:paraId="4986E372">
      <w:pPr>
        <w:spacing w:after="200" w:line="276" w:lineRule="auto"/>
        <w:jc w:val="both"/>
      </w:pPr>
      <w:r>
        <w:rPr>
          <w:b/>
          <w:bCs/>
          <w:sz w:val="22"/>
          <w:szCs w:val="22"/>
        </w:rPr>
        <w:t>Aido Rover</w:t>
      </w:r>
      <w:r>
        <w:rPr>
          <w:sz w:val="22"/>
          <w:szCs w:val="22"/>
        </w:rPr>
        <w:t xml:space="preserve"> (autonomous outdoor patrol) extends the same classification-heavy pattern outdoors: 14 sensors (LiDAR, thermal, multispectral, RGB, acoustic, radar, gas) feeding intrusion, vehicle, equipment-defect, gas-leak, and crop-health detection, with per-sensor reliability weighting that shifts with conditions (rain, fog, darkness) and safety-critical functions running on a microcontroller separate from the main AI computer. Its key constraint is reliability under changing outdoor conditions, with a stated fleet-coordination target of up to 12 units over mTLS-secured links and an eight-hour battery target.</w:t>
      </w:r>
    </w:p>
    <w:p w14:paraId="118F7BD1">
      <w:pPr>
        <w:spacing w:after="200" w:line="276" w:lineRule="auto"/>
        <w:jc w:val="both"/>
      </w:pPr>
      <w:r>
        <w:rPr>
          <w:b/>
          <w:bCs/>
          <w:sz w:val="22"/>
          <w:szCs w:val="22"/>
        </w:rPr>
        <w:t>Aido Humanoid</w:t>
      </w:r>
      <w:r>
        <w:rPr>
          <w:sz w:val="22"/>
          <w:szCs w:val="22"/>
        </w:rPr>
        <w:t xml:space="preserve"> (general-purpose bipedal platform) is architecturally the outlier: its primary ML problem is planning and policy control (a stated GR00T N1.6 foundation model plus GRPO-based fine-tuning), not classification or retrieval, aimed at healthcare, eldercare, manufacturing, and logistics tasks in human-designed spaces. Its key constraint is physical, real-time safety, with a stated sub-2ms emergency-stop latency target, 30 manipulation skills across 14 grasp types, and 32 lower-body degrees of freedom for bipedal movement.</w:t>
      </w:r>
    </w:p>
    <w:p w14:paraId="406E8FBF">
      <w:pPr>
        <w:pStyle w:val="3"/>
        <w:spacing w:before="260" w:after="120"/>
      </w:pPr>
      <w:r>
        <w:t>1.2 PIC 2.0 and the OpenClaw bridge hypothesis</w:t>
      </w:r>
    </w:p>
    <w:p w14:paraId="6C071A15">
      <w:pPr>
        <w:spacing w:after="200" w:line="276" w:lineRule="auto"/>
        <w:jc w:val="both"/>
      </w:pPr>
      <w:r>
        <w:rPr>
          <w:sz w:val="22"/>
          <w:szCs w:val="22"/>
        </w:rPr>
        <w:t>InGen's internal architecture is described (per the internship Concepts Primer) around six PIC 2.0 foundation models: HTD-IRL, SEOM, STUM, AMDC, CRL-MRS, and GRPO. Product-page usage of some of these labels (for example, "SEOM lambda=10.0" as a safety setting on Fari's page) does not match the Primer's working definitions, so this report keeps product-page terminology and Primer-based architecture terminology separate rather than forcing a single reading.</w:t>
      </w:r>
    </w:p>
    <w:p w14:paraId="014946BC">
      <w:pPr>
        <w:spacing w:after="200" w:line="276" w:lineRule="auto"/>
        <w:jc w:val="both"/>
      </w:pPr>
      <w:r>
        <w:rPr>
          <w:sz w:val="22"/>
          <w:szCs w:val="22"/>
        </w:rPr>
        <w:t>Week 1 produced a working hypothesis mapping these six models to the closest functional analogue in OpenClaw, my prior multi-agent market-research system (Planner, Knowledge, Quant, Risk, Critic, and Report agents, orchestrated with FastAPI and Docker, validated with 78 passing tests):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218E873">
        <w:trPr>
          <w:tblHeader/>
        </w:trPr>
        <w:tc>
          <w:tcPr>
            <w:tcW w:w="234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574AF588">
            <w:r>
              <w:rPr>
                <w:b/>
                <w:bCs/>
                <w:color w:val="FFFFFF"/>
                <w:sz w:val="19"/>
                <w:szCs w:val="19"/>
              </w:rPr>
              <w:t>PIC 2.0 model</w:t>
            </w:r>
          </w:p>
        </w:tc>
        <w:tc>
          <w:tcPr>
            <w:tcW w:w="234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18B08F84">
            <w:r>
              <w:rPr>
                <w:b/>
                <w:bCs/>
                <w:color w:val="FFFFFF"/>
                <w:sz w:val="19"/>
                <w:szCs w:val="19"/>
              </w:rPr>
              <w:t>Working interpretation</w:t>
            </w:r>
          </w:p>
        </w:tc>
        <w:tc>
          <w:tcPr>
            <w:tcW w:w="234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4AF54375">
            <w:r>
              <w:rPr>
                <w:b/>
                <w:bCs/>
                <w:color w:val="FFFFFF"/>
                <w:sz w:val="19"/>
                <w:szCs w:val="19"/>
              </w:rPr>
              <w:t>Closest OpenClaw component</w:t>
            </w:r>
          </w:p>
        </w:tc>
        <w:tc>
          <w:tcPr>
            <w:tcW w:w="234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3786CC63">
            <w:r>
              <w:rPr>
                <w:b/>
                <w:bCs/>
                <w:color w:val="FFFFFF"/>
                <w:sz w:val="19"/>
                <w:szCs w:val="19"/>
              </w:rPr>
              <w:t>Confidence</w:t>
            </w:r>
          </w:p>
        </w:tc>
      </w:tr>
      <w:tr w14:paraId="1D047975">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02D048E">
            <w:r>
              <w:rPr>
                <w:b w:val="0"/>
                <w:bCs w:val="0"/>
                <w:sz w:val="19"/>
                <w:szCs w:val="19"/>
              </w:rPr>
              <w:t>HTD-IRL</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62E9BA4">
            <w:r>
              <w:rPr>
                <w:b w:val="0"/>
                <w:bCs w:val="0"/>
                <w:sz w:val="19"/>
                <w:szCs w:val="19"/>
              </w:rPr>
              <w:t>Hierarchical task decomposition + inverse reinforcement learning</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2928296">
            <w:r>
              <w:rPr>
                <w:b w:val="0"/>
                <w:bCs w:val="0"/>
                <w:sz w:val="19"/>
                <w:szCs w:val="19"/>
              </w:rPr>
              <w:t>Planner agent</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5A44496">
            <w:r>
              <w:rPr>
                <w:b w:val="0"/>
                <w:bCs w:val="0"/>
                <w:sz w:val="19"/>
                <w:szCs w:val="19"/>
              </w:rPr>
              <w:t>Partial: OpenClaw decomposes goals into sub-tasks but doesn't learn a reward function from demonstrations</w:t>
            </w:r>
          </w:p>
        </w:tc>
      </w:tr>
      <w:tr w14:paraId="5A88F065">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1AAA7D8F">
            <w:r>
              <w:rPr>
                <w:b w:val="0"/>
                <w:bCs w:val="0"/>
                <w:sz w:val="19"/>
                <w:szCs w:val="19"/>
              </w:rPr>
              <w:t>SEOM</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21835E0C">
            <w:r>
              <w:rPr>
                <w:b w:val="0"/>
                <w:bCs w:val="0"/>
                <w:sz w:val="19"/>
                <w:szCs w:val="19"/>
              </w:rPr>
              <w:t>Semantic / embedding-oriented model</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6F1DEA8">
            <w:r>
              <w:rPr>
                <w:b w:val="0"/>
                <w:bCs w:val="0"/>
                <w:sz w:val="19"/>
                <w:szCs w:val="19"/>
              </w:rPr>
              <w:t>Knowledge / retrieval agent</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CE11969">
            <w:r>
              <w:rPr>
                <w:b w:val="0"/>
                <w:bCs w:val="0"/>
                <w:sz w:val="19"/>
                <w:szCs w:val="19"/>
              </w:rPr>
              <w:t>Strong: both ground downstream output in retrieved evidence rather than parametric memory alone</w:t>
            </w:r>
          </w:p>
        </w:tc>
      </w:tr>
      <w:tr w14:paraId="206D8707">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2B47F12">
            <w:r>
              <w:rPr>
                <w:b w:val="0"/>
                <w:bCs w:val="0"/>
                <w:sz w:val="19"/>
                <w:szCs w:val="19"/>
              </w:rPr>
              <w:t>STUM</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B3B1125">
            <w:r>
              <w:rPr>
                <w:b w:val="0"/>
                <w:bCs w:val="0"/>
                <w:sz w:val="19"/>
                <w:szCs w:val="19"/>
              </w:rPr>
              <w:t>State / sequence modelling</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27FB2C39">
            <w:r>
              <w:rPr>
                <w:b w:val="0"/>
                <w:bCs w:val="0"/>
                <w:sz w:val="19"/>
                <w:szCs w:val="19"/>
              </w:rPr>
              <w:t>Quant / analysis agent</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B458D23">
            <w:r>
              <w:rPr>
                <w:b w:val="0"/>
                <w:bCs w:val="0"/>
                <w:sz w:val="19"/>
                <w:szCs w:val="19"/>
              </w:rPr>
              <w:t>Moderate: both convert a changing input stream into a structured decision signal, though the underlying models likely differ</w:t>
            </w:r>
          </w:p>
        </w:tc>
      </w:tr>
      <w:tr w14:paraId="44BD89AE">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2746926">
            <w:r>
              <w:rPr>
                <w:b w:val="0"/>
                <w:bCs w:val="0"/>
                <w:sz w:val="19"/>
                <w:szCs w:val="19"/>
              </w:rPr>
              <w:t>AMDC</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67BD406">
            <w:r>
              <w:rPr>
                <w:b w:val="0"/>
                <w:bCs w:val="0"/>
                <w:sz w:val="19"/>
                <w:szCs w:val="19"/>
              </w:rPr>
              <w:t>Adaptive / hierarchical decision-making and governance</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7BA8BEDE">
            <w:r>
              <w:rPr>
                <w:b w:val="0"/>
                <w:bCs w:val="0"/>
                <w:sz w:val="19"/>
                <w:szCs w:val="19"/>
              </w:rPr>
              <w:t>Risk + Critic agents</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7D547B51">
            <w:r>
              <w:rPr>
                <w:b w:val="0"/>
                <w:bCs w:val="0"/>
                <w:sz w:val="19"/>
                <w:szCs w:val="19"/>
              </w:rPr>
              <w:t>Moderate: both apply a governance layer that checks a proposed output against risk and action boundaries before release</w:t>
            </w:r>
          </w:p>
        </w:tc>
      </w:tr>
      <w:tr w14:paraId="68F64A3E">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2D79FEA">
            <w:r>
              <w:rPr>
                <w:b w:val="0"/>
                <w:bCs w:val="0"/>
                <w:sz w:val="19"/>
                <w:szCs w:val="19"/>
              </w:rPr>
              <w:t>CRL-MRS</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187DC898">
            <w:r>
              <w:rPr>
                <w:b w:val="0"/>
                <w:bCs w:val="0"/>
                <w:sz w:val="19"/>
                <w:szCs w:val="19"/>
              </w:rPr>
              <w:t>Continual / coordination across multiple robots</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CCCFFA6">
            <w:r>
              <w:rPr>
                <w:b w:val="0"/>
                <w:bCs w:val="0"/>
                <w:sz w:val="19"/>
                <w:szCs w:val="19"/>
              </w:rPr>
              <w:t>Report agent, loosely</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2C4D0D33">
            <w:r>
              <w:rPr>
                <w:b w:val="0"/>
                <w:bCs w:val="0"/>
                <w:sz w:val="19"/>
                <w:szCs w:val="19"/>
              </w:rPr>
              <w:t>Weak: both synthesize multiple upstream outputs, but real-time multi-robot coordination is a substantially harder problem than document synthesis</w:t>
            </w:r>
          </w:p>
        </w:tc>
      </w:tr>
      <w:tr w14:paraId="62BE6B94">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8B151B3">
            <w:r>
              <w:rPr>
                <w:b w:val="0"/>
                <w:bCs w:val="0"/>
                <w:sz w:val="19"/>
                <w:szCs w:val="19"/>
              </w:rPr>
              <w:t>GRPO</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05A0623">
            <w:r>
              <w:rPr>
                <w:b w:val="0"/>
                <w:bCs w:val="0"/>
                <w:sz w:val="19"/>
                <w:szCs w:val="19"/>
              </w:rPr>
              <w:t>One of six PIC 2.0 models, not detailed in the Primer</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23D6CD0">
            <w:r>
              <w:rPr>
                <w:b w:val="0"/>
                <w:bCs w:val="0"/>
                <w:sz w:val="19"/>
                <w:szCs w:val="19"/>
              </w:rPr>
              <w:t>No confident mapping</w:t>
            </w:r>
          </w:p>
        </w:tc>
        <w:tc>
          <w:tcPr>
            <w:tcW w:w="234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9C7B409">
            <w:r>
              <w:rPr>
                <w:b w:val="0"/>
                <w:bCs w:val="0"/>
                <w:sz w:val="19"/>
                <w:szCs w:val="19"/>
              </w:rPr>
              <w:t>Unmapped: insufficient public detail to support a claim</w:t>
            </w:r>
          </w:p>
        </w:tc>
      </w:tr>
    </w:tbl>
    <w:p w14:paraId="77C3C5A2">
      <w:pPr>
        <w:spacing w:after="200"/>
      </w:pPr>
    </w:p>
    <w:p w14:paraId="54651FD2">
      <w:pPr>
        <w:spacing w:after="200" w:line="276" w:lineRule="auto"/>
        <w:jc w:val="both"/>
      </w:pPr>
      <w:r>
        <w:rPr>
          <w:sz w:val="22"/>
          <w:szCs w:val="22"/>
        </w:rPr>
        <w:t>The main conclusion from Week 1 was that OpenClaw already demonstrates the functional patterns behind four of the six PIC 2.0 models (task decomposition, semantic retrieval, sequential analysis, governance checks), while real-time physical coordination across multiple robots and full reinforcement-learning-based planning remain areas without direct prior experience. Weeks 2 and 3 were scoped specifically to test the two most transferable patterns, semantic retrieval and governance-style safety checks, against real InGen-relevant tasks, described in Sections 3 and 4.</w:t>
      </w:r>
    </w:p>
    <w:p w14:paraId="4DF2A3C7">
      <w:pPr>
        <w:pStyle w:val="2"/>
        <w:spacing w:before="360" w:after="160"/>
      </w:pPr>
      <w:r>
        <w:t>2. Product Anchoring for the Two Technical Tracks</w:t>
      </w:r>
    </w:p>
    <w:p w14:paraId="1347D469">
      <w:pPr>
        <w:spacing w:after="200" w:line="276" w:lineRule="auto"/>
        <w:jc w:val="both"/>
      </w:pPr>
      <w:r>
        <w:rPr>
          <w:sz w:val="22"/>
          <w:szCs w:val="22"/>
        </w:rPr>
        <w:t>Two of the five products anchor the classification track (Sentinel Prime AI, Aido Rover), because both run real-time on-device classification over multi-sensor input as their core ML problem. Two anchor the generation-and-retrieval track (Fari primary, Senpai secondary), because both need dialogue grounded in reliable source material with an explicit safety boundary. Aido Humanoid's core problem, physical planning and policy control, was not directly addressed by either track; Section 6 discusses this gap explicitly rather than stretching either track's results to cover it.</w:t>
      </w:r>
    </w:p>
    <w:p w14:paraId="506F5EA5">
      <w:pPr>
        <w:pStyle w:val="3"/>
        <w:spacing w:before="260" w:after="120"/>
      </w:pPr>
      <w:r>
        <w:t>2.1 A constraint that recurs across all five products</w:t>
      </w:r>
    </w:p>
    <w:p w14:paraId="4C2EC42F">
      <w:pPr>
        <w:spacing w:after="200" w:line="276" w:lineRule="auto"/>
        <w:jc w:val="both"/>
      </w:pPr>
      <w:r>
        <w:rPr>
          <w:sz w:val="22"/>
          <w:szCs w:val="22"/>
        </w:rPr>
        <w:t>Reading the five key constraints from Section 1.1 side by side, every one of them is a variant of the same underlying requirement: some form of governance or safety check that sits between a model's raw output and the action or response a user actually sees. Fari and Humanoid state this directly as safety; Sentinel states it as a false-alert rate and an explicit Gate stage; Rover states it as reliability under changing conditions, backed by a safety-critical function running on separate hardware from the main AI computer; Senpai states it as groundedness, keeping generated tutoring content tied to curriculum material rather than open-ended output. This recurring pattern is why the AMDC-to-Risk/Critic bridge hypothesis from Section 1.2 mattered enough to test directly rather than leave as a paper exercise, and it is the reason both technical tracks this engagement (Sections 3 and 4) end with an explicit governance or evaluation step rather than stopping at a raw model output.</w:t>
      </w:r>
    </w:p>
    <w:p w14:paraId="5905B280">
      <w:pPr>
        <w:pStyle w:val="2"/>
        <w:spacing w:before="360" w:after="160"/>
      </w:pPr>
      <w:r>
        <w:t>3. Edge-Constrained Neural Network Classifier (Week 2)</w:t>
      </w:r>
    </w:p>
    <w:p w14:paraId="7BE70625">
      <w:pPr>
        <w:pStyle w:val="3"/>
        <w:spacing w:before="260" w:after="120"/>
      </w:pPr>
      <w:r>
        <w:t>3.1 Methodology</w:t>
      </w:r>
    </w:p>
    <w:p w14:paraId="3936AF97">
      <w:pPr>
        <w:spacing w:after="200" w:line="276" w:lineRule="auto"/>
        <w:jc w:val="both"/>
      </w:pPr>
      <w:r>
        <w:rPr>
          <w:sz w:val="22"/>
          <w:szCs w:val="22"/>
        </w:rPr>
        <w:t>The classifier task extends AURA, a prior AIoT project that trains an ESP32-connected sensor classifier without any deployment engineering (no quantization, no latency benchmarking, because AURA's inference runs server-side, not on the device itself). This week's task added exactly that missing deployment-engineering half, applied to a synthetic dataset modeled on Aido Rover's sensor set.</w:t>
      </w:r>
    </w:p>
    <w:p w14:paraId="297931EA">
      <w:pPr>
        <w:spacing w:after="200" w:line="276" w:lineRule="auto"/>
        <w:jc w:val="both"/>
      </w:pPr>
      <w:r>
        <w:rPr>
          <w:sz w:val="22"/>
          <w:szCs w:val="22"/>
        </w:rPr>
        <w:t>The dataset (4,000 samples, 1,000 per class, sized in consultation with the supervisor after an initial 300-per-class draft proved too easy to separate) consists of 30-step windows over 7 features: IMU, left/right motor current plus their difference, and front/rear proximity, generated with AR(1) processes plus measurement and label noise across four operational modes (PATROL, ALERT, CHARGING, FAULT), split 70/15/15. The first pass at the data generator produced 100% test accuracy, which was not a result to trust; the generator was rebuilt with explicit measurement and label noise before the numbers in Section 3.2 were produced, and 100% accuracy on a first attempt is now treated as a signal to check the data generation process rather than a result to report. A small feedforward network (210 to 64 to 32 to 4) was chosen over a 1D-CNN specifically because quantizing a plain linear stack is the more reliable path in PyTorch, and the latency numbers needed to mean something rather than being an artifact of a harder-to-quantize architecture.</w:t>
      </w:r>
    </w:p>
    <w:p w14:paraId="1FAB91E6">
      <w:pPr>
        <w:pStyle w:val="3"/>
        <w:spacing w:before="260" w:after="120"/>
      </w:pPr>
      <w:r>
        <w:t>3.2 Accuracy-latency trade-off</w:t>
      </w:r>
    </w:p>
    <w:p w14:paraId="1F5DE11D">
      <w:pPr>
        <w:spacing w:after="200" w:line="276" w:lineRule="auto"/>
        <w:jc w:val="both"/>
      </w:pPr>
      <w:r>
        <w:rPr>
          <w:sz w:val="22"/>
          <w:szCs w:val="22"/>
        </w:rPr>
        <w:t>Measured on the held-out test split, 200 warm-up-free runs at batch size 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2196ABA">
        <w:trPr>
          <w:tblHeader/>
        </w:trPr>
        <w:tc>
          <w:tcPr>
            <w:tcW w:w="312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633E2385">
            <w:r>
              <w:rPr>
                <w:b/>
                <w:bCs/>
                <w:color w:val="FFFFFF"/>
                <w:sz w:val="19"/>
                <w:szCs w:val="19"/>
              </w:rPr>
              <w:t>Metric</w:t>
            </w:r>
          </w:p>
        </w:tc>
        <w:tc>
          <w:tcPr>
            <w:tcW w:w="312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3E1CE059">
            <w:r>
              <w:rPr>
                <w:b/>
                <w:bCs/>
                <w:color w:val="FFFFFF"/>
                <w:sz w:val="19"/>
                <w:szCs w:val="19"/>
              </w:rPr>
              <w:t>FP32</w:t>
            </w:r>
          </w:p>
        </w:tc>
        <w:tc>
          <w:tcPr>
            <w:tcW w:w="312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7D143D26">
            <w:r>
              <w:rPr>
                <w:b/>
                <w:bCs/>
                <w:color w:val="FFFFFF"/>
                <w:sz w:val="19"/>
                <w:szCs w:val="19"/>
              </w:rPr>
              <w:t>INT8 (dynamic PTQ)</w:t>
            </w:r>
          </w:p>
        </w:tc>
      </w:tr>
      <w:tr w14:paraId="01D754F5">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2AD36E88">
            <w:r>
              <w:rPr>
                <w:b w:val="0"/>
                <w:bCs w:val="0"/>
                <w:sz w:val="19"/>
                <w:szCs w:val="19"/>
              </w:rPr>
              <w:t>Accuracy</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7C8F9978">
            <w:r>
              <w:rPr>
                <w:b w:val="0"/>
                <w:bCs w:val="0"/>
                <w:sz w:val="19"/>
                <w:szCs w:val="19"/>
              </w:rPr>
              <w:t>92.50%</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1634D4DD">
            <w:r>
              <w:rPr>
                <w:b w:val="0"/>
                <w:bCs w:val="0"/>
                <w:sz w:val="19"/>
                <w:szCs w:val="19"/>
              </w:rPr>
              <w:t>92.33% (-0.17pp)</w:t>
            </w:r>
          </w:p>
        </w:tc>
      </w:tr>
      <w:tr w14:paraId="65B05284">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6841EA20">
            <w:r>
              <w:rPr>
                <w:b w:val="0"/>
                <w:bCs w:val="0"/>
                <w:sz w:val="19"/>
                <w:szCs w:val="19"/>
              </w:rPr>
              <w:t>Precision / Recall / F1 (macro)</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766419EE">
            <w:r>
              <w:rPr>
                <w:b w:val="0"/>
                <w:bCs w:val="0"/>
                <w:sz w:val="19"/>
                <w:szCs w:val="19"/>
              </w:rPr>
              <w:t>0.926 / 0.925 / 0.925</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9223F59">
            <w:r>
              <w:rPr>
                <w:b w:val="0"/>
                <w:bCs w:val="0"/>
                <w:sz w:val="19"/>
                <w:szCs w:val="19"/>
              </w:rPr>
              <w:t>0.924 / 0.923 / 0.923</w:t>
            </w:r>
          </w:p>
        </w:tc>
      </w:tr>
      <w:tr w14:paraId="116F98F1">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6A5A98B">
            <w:r>
              <w:rPr>
                <w:b w:val="0"/>
                <w:bCs w:val="0"/>
                <w:sz w:val="19"/>
                <w:szCs w:val="19"/>
              </w:rPr>
              <w:t>Latency (mean ± std)</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E71F0D4">
            <w:r>
              <w:rPr>
                <w:b w:val="0"/>
                <w:bCs w:val="0"/>
                <w:sz w:val="19"/>
                <w:szCs w:val="19"/>
              </w:rPr>
              <w:t>0.0346 ± 0.0178 ms</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0A748C6">
            <w:r>
              <w:rPr>
                <w:b w:val="0"/>
                <w:bCs w:val="0"/>
                <w:sz w:val="19"/>
                <w:szCs w:val="19"/>
              </w:rPr>
              <w:t>0.8748 ± 0.1191 ms</w:t>
            </w:r>
          </w:p>
        </w:tc>
      </w:tr>
      <w:tr w14:paraId="792E309A">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EB07FB8">
            <w:r>
              <w:rPr>
                <w:b w:val="0"/>
                <w:bCs w:val="0"/>
                <w:sz w:val="19"/>
                <w:szCs w:val="19"/>
              </w:rPr>
              <w:t>Model size</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32356E0">
            <w:r>
              <w:rPr>
                <w:b w:val="0"/>
                <w:bCs w:val="0"/>
                <w:sz w:val="19"/>
                <w:szCs w:val="19"/>
              </w:rPr>
              <w:t>0.066 MB</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6E4BA34">
            <w:r>
              <w:rPr>
                <w:b w:val="0"/>
                <w:bCs w:val="0"/>
                <w:sz w:val="19"/>
                <w:szCs w:val="19"/>
              </w:rPr>
              <w:t>0.021 MB (-68.6%)</w:t>
            </w:r>
          </w:p>
        </w:tc>
      </w:tr>
    </w:tbl>
    <w:p w14:paraId="192D2FD8">
      <w:pPr>
        <w:spacing w:after="200"/>
      </w:pPr>
    </w:p>
    <w:p w14:paraId="63D20D16">
      <w:pPr>
        <w:spacing w:after="200" w:line="276" w:lineRule="auto"/>
        <w:jc w:val="both"/>
      </w:pPr>
      <w:r>
        <w:rPr>
          <w:sz w:val="22"/>
          <w:szCs w:val="22"/>
        </w:rPr>
        <w:t>Two results ran against my prior assumption. First, quantization costs real accuracy at this dataset size (0.17pp); at an earlier, smaller test-set size the same comparison looked completely free, which was itself a sign the earlier test set was too small to trust. Second, INT8 is roughly 25x slower than FP32 here, not faster: dynamic quantization computes the activation scale at runtime on every call, and on a network this small that per-call overhead outweighs whatever the INT8 matmul itself saves. I would have assumed quantization helps speed if I hadn't actually timed it.</w:t>
      </w:r>
    </w:p>
    <w:p w14:paraId="414A9B69">
      <w:pPr>
        <w:pStyle w:val="3"/>
        <w:spacing w:before="260" w:after="120"/>
      </w:pPr>
      <w:r>
        <w:t>3.3 Deployment recommendation</w:t>
      </w:r>
    </w:p>
    <w:p w14:paraId="6E0CBEC7">
      <w:pPr>
        <w:spacing w:after="200" w:line="276" w:lineRule="auto"/>
        <w:jc w:val="both"/>
      </w:pPr>
      <w:r>
        <w:rPr>
          <w:sz w:val="22"/>
          <w:szCs w:val="22"/>
        </w:rPr>
        <w:t>Against a 20ms real-time decision-loop budget appropriate to Sentinel Prime AI or Aido Rover, both configurations clear the budget by a wide margin (FP32 by ~578x, INT8 by ~23x), so latency alone does not decide the deployment question. The recommendation is to quantize anyway, for size rather than speed: a 68.6% smaller model is a good trade for a 0.17pp accuracy cost once this classifier is not the only model sharing a device's memory, which matches Sentinel Prime AI's own stated design (a five-model ensemble on one Jetson AGX Orin) and Aido Rover's 14-sensor stack. If a future classifier at this task were meaningfully larger, I would expect quantization to win on both size and latency, and would want to re-run this benchmark rather than assume this conclusion transfers.</w:t>
      </w:r>
    </w:p>
    <w:p w14:paraId="63648946">
      <w:pPr>
        <w:pStyle w:val="3"/>
        <w:spacing w:before="260" w:after="120"/>
      </w:pPr>
      <w:r>
        <w:t>3.4 Connection back to AURA</w:t>
      </w:r>
    </w:p>
    <w:p w14:paraId="02C78DCB">
      <w:pPr>
        <w:spacing w:after="200" w:line="276" w:lineRule="auto"/>
        <w:jc w:val="both"/>
      </w:pPr>
      <w:r>
        <w:rPr>
          <w:sz w:val="22"/>
          <w:szCs w:val="22"/>
        </w:rPr>
        <w:t>AURA's real pipeline (</w:t>
      </w:r>
      <w:r>
        <w:rPr>
          <w:rFonts w:ascii="Courier New" w:hAnsi="Courier New" w:eastAsia="Courier New" w:cs="Courier New"/>
          <w:sz w:val="22"/>
          <w:szCs w:val="22"/>
        </w:rPr>
        <w:t>ESP32/main.py</w:t>
      </w:r>
      <w:r>
        <w:rPr>
          <w:sz w:val="22"/>
          <w:szCs w:val="22"/>
        </w:rPr>
        <w:t xml:space="preserve"> plus </w:t>
      </w:r>
      <w:r>
        <w:rPr>
          <w:rFonts w:ascii="Courier New" w:hAnsi="Courier New" w:eastAsia="Courier New" w:cs="Courier New"/>
          <w:sz w:val="22"/>
          <w:szCs w:val="22"/>
        </w:rPr>
        <w:t>model_training/server.py</w:t>
      </w:r>
      <w:r>
        <w:rPr>
          <w:sz w:val="22"/>
          <w:szCs w:val="22"/>
        </w:rPr>
        <w:t xml:space="preserve">) never quantizes anything and never benchmarks latency: it retrains an sklearn </w:t>
      </w:r>
      <w:r>
        <w:rPr>
          <w:rFonts w:ascii="Courier New" w:hAnsi="Courier New" w:eastAsia="Courier New" w:cs="Courier New"/>
          <w:sz w:val="22"/>
          <w:szCs w:val="22"/>
        </w:rPr>
        <w:t>MLPClassifier</w:t>
      </w:r>
      <w:r>
        <w:rPr>
          <w:sz w:val="22"/>
          <w:szCs w:val="22"/>
        </w:rPr>
        <w:t xml:space="preserve"> on the full dataset and calls </w:t>
      </w:r>
      <w:r>
        <w:rPr>
          <w:rFonts w:ascii="Courier New" w:hAnsi="Courier New" w:eastAsia="Courier New" w:cs="Courier New"/>
          <w:sz w:val="22"/>
          <w:szCs w:val="22"/>
        </w:rPr>
        <w:t>.predict()</w:t>
      </w:r>
      <w:r>
        <w:rPr>
          <w:sz w:val="22"/>
          <w:szCs w:val="22"/>
        </w:rPr>
        <w:t xml:space="preserve"> server-side, because AURA's inference runs on a server rather than on the ESP32 device itself, so it never faced a hard edge-latency constraint. This week's task is, in effect, the deployment-engineering half AURA never needed. Sentinel Prime AI and Aido Rover run inference on-device, so they do face that constraint, and Section 3.2's benchmark is the direct answer to it.</w:t>
      </w:r>
    </w:p>
    <w:p w14:paraId="7D7EC38D">
      <w:pPr>
        <w:pStyle w:val="2"/>
        <w:spacing w:before="360" w:after="160"/>
      </w:pPr>
      <w:r>
        <w:t>4. Fine-Tuning and RAG for Companion Dialogue Safety (Week 3)</w:t>
      </w:r>
    </w:p>
    <w:p w14:paraId="7850CF73">
      <w:pPr>
        <w:pStyle w:val="3"/>
        <w:spacing w:before="260" w:after="120"/>
      </w:pPr>
      <w:r>
        <w:t>4.1 Dataset and methodology</w:t>
      </w:r>
    </w:p>
    <w:p w14:paraId="6B513661">
      <w:pPr>
        <w:spacing w:after="200" w:line="276" w:lineRule="auto"/>
        <w:jc w:val="both"/>
      </w:pPr>
      <w:r>
        <w:rPr>
          <w:sz w:val="22"/>
          <w:szCs w:val="22"/>
        </w:rPr>
        <w:t>The task extends the Psychologist AI Agent project's local fine-tune-plus-retrieval-grounding methodology (DPO + QLoRA on Llama-3.1-8B, FAISS RAG, 97% safety-detection accuracy) into a new domain: Fari's eldercare companion dialogue, with Senpai as a secondary RAG-grounding anchor. A three-category taxonomy (ROUTINE, MILD_DISTRESS, ESCALATE) structures a DPO preference-pair dataset, sized at 54 training pairs (18/category), 6 validation pairs (2/category), and 12 held-out qualitative prompts (4/category) after resizing down from an initial 108-pair draft per supervisor guidance on appropriate scale for a one-week sprint. Held-out prompts were written independently of the training pairs, never sampled from them.</w:t>
      </w:r>
    </w:p>
    <w:p w14:paraId="32EB9FF4">
      <w:pPr>
        <w:spacing w:after="200" w:line="276" w:lineRule="auto"/>
        <w:jc w:val="both"/>
      </w:pPr>
      <w:r>
        <w:rPr>
          <w:sz w:val="22"/>
          <w:szCs w:val="22"/>
        </w:rPr>
        <w:t>Every ESCALATE "chosen" response in the training set was checked against one explicit rule during construction: does it escalate to a human within the response, and does it avoid diagnosing or giving clinical instructions; any draft that failed either check was rewritten before being added to the dataset. "Rejected" responses were written as a weak baseline (clinically flat, falsely reassuring, or, for ESCALATE specifically, failing to escalate at all), mirroring the same weak-baseline DPO construction used on the Psychologist Agent project rather than inventing a new labeling scheme for this task.</w:t>
      </w:r>
    </w:p>
    <w:p w14:paraId="3EB09752">
      <w:pPr>
        <w:pStyle w:val="3"/>
        <w:spacing w:before="260" w:after="120"/>
      </w:pPr>
      <w:r>
        <w:t>4.2 QLoRA + DPO ablation</w:t>
      </w:r>
    </w:p>
    <w:p w14:paraId="7465B3FA">
      <w:pPr>
        <w:spacing w:after="200" w:line="276" w:lineRule="auto"/>
        <w:jc w:val="both"/>
      </w:pPr>
      <w:r>
        <w:rPr>
          <w:sz w:val="22"/>
          <w:szCs w:val="22"/>
        </w:rPr>
        <w:t>Base model: Qwen2.5-1.5B-Instruct (chosen within the 1-3B range specified for GPU-risk mitigation). Three rank/learning-rate configurations were trained for one epoch each on a Colab T4 GPU:</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6503D154">
        <w:trPr>
          <w:tblHeader/>
        </w:trPr>
        <w:tc>
          <w:tcPr>
            <w:tcW w:w="1872"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28E473C7">
            <w:r>
              <w:rPr>
                <w:b/>
                <w:bCs/>
                <w:color w:val="FFFFFF"/>
                <w:sz w:val="19"/>
                <w:szCs w:val="19"/>
              </w:rPr>
              <w:t>Config</w:t>
            </w:r>
          </w:p>
        </w:tc>
        <w:tc>
          <w:tcPr>
            <w:tcW w:w="1872"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195E966F">
            <w:r>
              <w:rPr>
                <w:b/>
                <w:bCs/>
                <w:color w:val="FFFFFF"/>
                <w:sz w:val="19"/>
                <w:szCs w:val="19"/>
              </w:rPr>
              <w:t>LoRA rank</w:t>
            </w:r>
          </w:p>
        </w:tc>
        <w:tc>
          <w:tcPr>
            <w:tcW w:w="1872"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5A755B38">
            <w:r>
              <w:rPr>
                <w:b/>
                <w:bCs/>
                <w:color w:val="FFFFFF"/>
                <w:sz w:val="19"/>
                <w:szCs w:val="19"/>
              </w:rPr>
              <w:t>Learning rate</w:t>
            </w:r>
          </w:p>
        </w:tc>
        <w:tc>
          <w:tcPr>
            <w:tcW w:w="1872"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24ADDF4F">
            <w:r>
              <w:rPr>
                <w:b/>
                <w:bCs/>
                <w:color w:val="FFFFFF"/>
                <w:sz w:val="19"/>
                <w:szCs w:val="19"/>
              </w:rPr>
              <w:t>Final eval loss</w:t>
            </w:r>
          </w:p>
        </w:tc>
        <w:tc>
          <w:tcPr>
            <w:tcW w:w="1872"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39C40572">
            <w:r>
              <w:rPr>
                <w:b/>
                <w:bCs/>
                <w:color w:val="FFFFFF"/>
                <w:sz w:val="19"/>
                <w:szCs w:val="19"/>
              </w:rPr>
              <w:t>Outcome</w:t>
            </w:r>
          </w:p>
        </w:tc>
      </w:tr>
      <w:tr w14:paraId="2E24B33D">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2F0DC27">
            <w:r>
              <w:rPr>
                <w:b w:val="0"/>
                <w:bCs w:val="0"/>
                <w:sz w:val="19"/>
                <w:szCs w:val="19"/>
              </w:rPr>
              <w:t>A</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850CE5E">
            <w:r>
              <w:rPr>
                <w:b w:val="0"/>
                <w:bCs w:val="0"/>
                <w:sz w:val="19"/>
                <w:szCs w:val="19"/>
              </w:rPr>
              <w:t>8</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F3D3069">
            <w:r>
              <w:rPr>
                <w:b w:val="0"/>
                <w:bCs w:val="0"/>
                <w:sz w:val="19"/>
                <w:szCs w:val="19"/>
              </w:rPr>
              <w:t>2e-4</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FB9C4F8">
            <w:r>
              <w:rPr>
                <w:b w:val="0"/>
                <w:bCs w:val="0"/>
                <w:sz w:val="19"/>
                <w:szCs w:val="19"/>
              </w:rPr>
              <w:t>0.0266</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1E3DE7A1">
            <w:r>
              <w:rPr>
                <w:b w:val="0"/>
                <w:bCs w:val="0"/>
                <w:sz w:val="19"/>
                <w:szCs w:val="19"/>
              </w:rPr>
              <w:t>lower-capacity baseline</w:t>
            </w:r>
          </w:p>
        </w:tc>
      </w:tr>
      <w:tr w14:paraId="7AC1107D">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1D7CDFB6">
            <w:r>
              <w:rPr>
                <w:b w:val="0"/>
                <w:bCs w:val="0"/>
                <w:sz w:val="19"/>
                <w:szCs w:val="19"/>
              </w:rPr>
              <w:t>B</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D836DE8">
            <w:r>
              <w:rPr>
                <w:b w:val="0"/>
                <w:bCs w:val="0"/>
                <w:sz w:val="19"/>
                <w:szCs w:val="19"/>
              </w:rPr>
              <w:t>16</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2D496B27">
            <w:r>
              <w:rPr>
                <w:b w:val="0"/>
                <w:bCs w:val="0"/>
                <w:sz w:val="19"/>
                <w:szCs w:val="19"/>
              </w:rPr>
              <w:t>2e-4</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CBD2418">
            <w:r>
              <w:rPr>
                <w:b w:val="0"/>
                <w:bCs w:val="0"/>
                <w:sz w:val="19"/>
                <w:szCs w:val="19"/>
              </w:rPr>
              <w:t>0.0082</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7D88FAE">
            <w:r>
              <w:rPr>
                <w:b w:val="0"/>
                <w:bCs w:val="0"/>
                <w:sz w:val="19"/>
                <w:szCs w:val="19"/>
              </w:rPr>
              <w:t>selected: lowest loss, no qualitative downside</w:t>
            </w:r>
          </w:p>
        </w:tc>
      </w:tr>
      <w:tr w14:paraId="38A6D985">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7B03181A">
            <w:r>
              <w:rPr>
                <w:b w:val="0"/>
                <w:bCs w:val="0"/>
                <w:sz w:val="19"/>
                <w:szCs w:val="19"/>
              </w:rPr>
              <w:t>C</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2E8A185">
            <w:r>
              <w:rPr>
                <w:b w:val="0"/>
                <w:bCs w:val="0"/>
                <w:sz w:val="19"/>
                <w:szCs w:val="19"/>
              </w:rPr>
              <w:t>16</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EB2189E">
            <w:r>
              <w:rPr>
                <w:b w:val="0"/>
                <w:bCs w:val="0"/>
                <w:sz w:val="19"/>
                <w:szCs w:val="19"/>
              </w:rPr>
              <w:t>1e-4</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49B4DB8">
            <w:r>
              <w:rPr>
                <w:b w:val="0"/>
                <w:bCs w:val="0"/>
                <w:sz w:val="19"/>
                <w:szCs w:val="19"/>
              </w:rPr>
              <w:t>0.0506</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1ADF939A">
            <w:r>
              <w:rPr>
                <w:b w:val="0"/>
                <w:bCs w:val="0"/>
                <w:sz w:val="19"/>
                <w:szCs w:val="19"/>
              </w:rPr>
              <w:t>worst of the three; the lower learning rate needed more steps than this run's budget gave it</w:t>
            </w:r>
          </w:p>
        </w:tc>
      </w:tr>
    </w:tbl>
    <w:p w14:paraId="6171EA53">
      <w:pPr>
        <w:spacing w:after="200"/>
      </w:pPr>
    </w:p>
    <w:p w14:paraId="53A7D846">
      <w:pPr>
        <w:spacing w:after="200" w:line="276" w:lineRule="auto"/>
        <w:jc w:val="both"/>
      </w:pPr>
      <w:r>
        <w:rPr>
          <w:sz w:val="22"/>
          <w:szCs w:val="22"/>
        </w:rPr>
        <w:t>Configuration B was selected on eval loss first, then confirmed against the qualitative held-out comparison: all three configurations produced a similar tonal shift away from the base model's clinical, hedging register toward a warmer, more present companion voice, and correctly pivoted to escalating direct-symptom prompts (difficulty breathing, slurred speech) to a human rather than offering clinical suggestions.</w:t>
      </w:r>
    </w:p>
    <w:p w14:paraId="310ABB5F">
      <w:pPr>
        <w:spacing w:after="200" w:line="276" w:lineRule="auto"/>
        <w:jc w:val="both"/>
      </w:pPr>
      <w:r>
        <w:rPr>
          <w:sz w:val="22"/>
          <w:szCs w:val="22"/>
        </w:rPr>
        <w:t>The evaluation also surfaced an honest limitation, confirmed across two separate training runs with the same qualitative result each time: on a held-out ESCALATE prompt describing an elderly resident giving away a personal item to a grandchild, an indirect self-harm warning sign rather than a direct symptom statement, the base model and all three fine-tuned configurations responded with unqualified warmth and missed the risk signal entirely. A 54-pair dataset skewed toward direct-symptom ESCALATE examples does not have enough per-category coverage to teach this distinction, which is the direct motivation for keeping a safety check independent of the generative model (Section 4.4) rather than trusting the fine-tuned model to catch every risk pattern on its own.</w:t>
      </w:r>
    </w:p>
    <w:p w14:paraId="26F73695">
      <w:pPr>
        <w:spacing w:after="200" w:line="276" w:lineRule="auto"/>
        <w:jc w:val="both"/>
      </w:pPr>
      <w:r>
        <w:rPr>
          <w:sz w:val="22"/>
          <w:szCs w:val="22"/>
        </w:rPr>
        <w:t xml:space="preserve">Reaching this result required resolving a genuine library bug, not just a modeling choice: </w:t>
      </w:r>
      <w:r>
        <w:rPr>
          <w:rFonts w:ascii="Courier New" w:hAnsi="Courier New" w:eastAsia="Courier New" w:cs="Courier New"/>
          <w:sz w:val="22"/>
          <w:szCs w:val="22"/>
        </w:rPr>
        <w:t>trl</w:t>
      </w:r>
      <w:r>
        <w:rPr>
          <w:sz w:val="22"/>
          <w:szCs w:val="22"/>
        </w:rPr>
        <w:t xml:space="preserve"> 0.9.6's automatic k-bit</w:t>
      </w:r>
      <w:bookmarkStart w:id="0" w:name="_GoBack"/>
      <w:bookmarkEnd w:id="0"/>
      <w:r>
        <w:rPr>
          <w:sz w:val="22"/>
          <w:szCs w:val="22"/>
        </w:rPr>
        <w:t xml:space="preserve"> training setup casts non-quantized model parameters to float32 and then selectively re-casts </w:t>
      </w:r>
      <w:r>
        <w:rPr>
          <w:rFonts w:ascii="Courier New" w:hAnsi="Courier New" w:eastAsia="Courier New" w:cs="Courier New"/>
          <w:sz w:val="22"/>
          <w:szCs w:val="22"/>
        </w:rPr>
        <w:t>lm_head</w:t>
      </w:r>
      <w:r>
        <w:rPr>
          <w:sz w:val="22"/>
          <w:szCs w:val="22"/>
        </w:rPr>
        <w:t xml:space="preserve">/embeddings back to bfloat16 while deliberately leaving normalization layers at float32, a split meant to be bridged by an internal </w:t>
      </w:r>
      <w:r>
        <w:rPr>
          <w:rFonts w:ascii="Courier New" w:hAnsi="Courier New" w:eastAsia="Courier New" w:cs="Courier New"/>
          <w:sz w:val="22"/>
          <w:szCs w:val="22"/>
        </w:rPr>
        <w:t>autocast</w:t>
      </w:r>
      <w:r>
        <w:rPr>
          <w:sz w:val="22"/>
          <w:szCs w:val="22"/>
        </w:rPr>
        <w:t xml:space="preserve"> call that did not activate as expected in this environment. Reading the </w:t>
      </w:r>
      <w:r>
        <w:rPr>
          <w:rFonts w:ascii="Courier New" w:hAnsi="Courier New" w:eastAsia="Courier New" w:cs="Courier New"/>
          <w:sz w:val="22"/>
          <w:szCs w:val="22"/>
        </w:rPr>
        <w:t>trl</w:t>
      </w:r>
      <w:r>
        <w:rPr>
          <w:sz w:val="22"/>
          <w:szCs w:val="22"/>
        </w:rPr>
        <w:t xml:space="preserve"> and </w:t>
      </w:r>
      <w:r>
        <w:rPr>
          <w:rFonts w:ascii="Courier New" w:hAnsi="Courier New" w:eastAsia="Courier New" w:cs="Courier New"/>
          <w:sz w:val="22"/>
          <w:szCs w:val="22"/>
        </w:rPr>
        <w:t>peft</w:t>
      </w:r>
      <w:r>
        <w:rPr>
          <w:sz w:val="22"/>
          <w:szCs w:val="22"/>
        </w:rPr>
        <w:t xml:space="preserve"> source directly (rather than guessing from the error message) identified the mismatch; the fix explicitly unifies every non-4bit-quantized module to one dtype after the trainer wraps the model.</w:t>
      </w:r>
    </w:p>
    <w:p w14:paraId="1E0B29C2">
      <w:pPr>
        <w:pStyle w:val="3"/>
        <w:spacing w:before="260" w:after="120"/>
      </w:pPr>
      <w:r>
        <w:t>4.3 RAG retrieval quality</w:t>
      </w:r>
    </w:p>
    <w:p w14:paraId="4F564094">
      <w:pPr>
        <w:spacing w:after="200" w:line="276" w:lineRule="auto"/>
        <w:jc w:val="both"/>
      </w:pPr>
      <w:r>
        <w:rPr>
          <w:sz w:val="22"/>
          <w:szCs w:val="22"/>
        </w:rPr>
        <w:t xml:space="preserve">13 knowledge-base chunks, written in my own words and grounded in real public sources (NIA/NIH, CDC, WHO, peer-reviewed research indexed on PubMed/PMC), were embedded with </w:t>
      </w:r>
      <w:r>
        <w:rPr>
          <w:rFonts w:ascii="Courier New" w:hAnsi="Courier New" w:eastAsia="Courier New" w:cs="Courier New"/>
          <w:sz w:val="22"/>
          <w:szCs w:val="22"/>
        </w:rPr>
        <w:t>sentence-transformers/all-MiniLM-L6-v2</w:t>
      </w:r>
      <w:r>
        <w:rPr>
          <w:sz w:val="22"/>
          <w:szCs w:val="22"/>
        </w:rPr>
        <w:t xml:space="preserve"> (384-dim, matching OpenClaw's embedding size) and indexed with FAISS (</w:t>
      </w:r>
      <w:r>
        <w:rPr>
          <w:rFonts w:ascii="Courier New" w:hAnsi="Courier New" w:eastAsia="Courier New" w:cs="Courier New"/>
          <w:sz w:val="22"/>
          <w:szCs w:val="22"/>
        </w:rPr>
        <w:t>IndexFlatIP</w:t>
      </w:r>
      <w:r>
        <w:rPr>
          <w:sz w:val="22"/>
          <w:szCs w:val="22"/>
        </w:rPr>
        <w:t xml:space="preserve"> over L2-normalized vectors, inner product as cosine similarity), reusing the same architecture pattern as the Psychologist Agent's CBT/DBT/WHO-grounded RAG pipeline in a different knowledge domain.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985923C">
        <w:trPr>
          <w:tblHeader/>
        </w:trPr>
        <w:tc>
          <w:tcPr>
            <w:tcW w:w="468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3CF621B9">
            <w:r>
              <w:rPr>
                <w:b/>
                <w:bCs/>
                <w:color w:val="FFFFFF"/>
                <w:sz w:val="19"/>
                <w:szCs w:val="19"/>
              </w:rPr>
              <w:t>Metric</w:t>
            </w:r>
          </w:p>
        </w:tc>
        <w:tc>
          <w:tcPr>
            <w:tcW w:w="468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2B38FC1E">
            <w:r>
              <w:rPr>
                <w:b/>
                <w:bCs/>
                <w:color w:val="FFFFFF"/>
                <w:sz w:val="19"/>
                <w:szCs w:val="19"/>
              </w:rPr>
              <w:t>Value</w:t>
            </w:r>
          </w:p>
        </w:tc>
      </w:tr>
      <w:tr w14:paraId="304BDD04">
        <w:tc>
          <w:tcPr>
            <w:tcW w:w="468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3967E8F">
            <w:r>
              <w:rPr>
                <w:b w:val="0"/>
                <w:bCs w:val="0"/>
                <w:sz w:val="19"/>
                <w:szCs w:val="19"/>
              </w:rPr>
              <w:t>hit@1</w:t>
            </w:r>
          </w:p>
        </w:tc>
        <w:tc>
          <w:tcPr>
            <w:tcW w:w="468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1C6B5E17">
            <w:r>
              <w:rPr>
                <w:b w:val="0"/>
                <w:bCs w:val="0"/>
                <w:sz w:val="19"/>
                <w:szCs w:val="19"/>
              </w:rPr>
              <w:t>0.846 (11/13)</w:t>
            </w:r>
          </w:p>
        </w:tc>
      </w:tr>
      <w:tr w14:paraId="6166A4C5">
        <w:tc>
          <w:tcPr>
            <w:tcW w:w="468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22B0E652">
            <w:r>
              <w:rPr>
                <w:b w:val="0"/>
                <w:bCs w:val="0"/>
                <w:sz w:val="19"/>
                <w:szCs w:val="19"/>
              </w:rPr>
              <w:t>hit@3</w:t>
            </w:r>
          </w:p>
        </w:tc>
        <w:tc>
          <w:tcPr>
            <w:tcW w:w="468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1741D938">
            <w:r>
              <w:rPr>
                <w:b w:val="0"/>
                <w:bCs w:val="0"/>
                <w:sz w:val="19"/>
                <w:szCs w:val="19"/>
              </w:rPr>
              <w:t>0.923 (12/13)</w:t>
            </w:r>
          </w:p>
        </w:tc>
      </w:tr>
      <w:tr w14:paraId="244757F6">
        <w:tc>
          <w:tcPr>
            <w:tcW w:w="468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27BE3E0">
            <w:r>
              <w:rPr>
                <w:b w:val="0"/>
                <w:bCs w:val="0"/>
                <w:sz w:val="19"/>
                <w:szCs w:val="19"/>
              </w:rPr>
              <w:t>hit@5</w:t>
            </w:r>
          </w:p>
        </w:tc>
        <w:tc>
          <w:tcPr>
            <w:tcW w:w="468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9ED5DC5">
            <w:r>
              <w:rPr>
                <w:b w:val="0"/>
                <w:bCs w:val="0"/>
                <w:sz w:val="19"/>
                <w:szCs w:val="19"/>
              </w:rPr>
              <w:t>0.923 (12/13)</w:t>
            </w:r>
          </w:p>
        </w:tc>
      </w:tr>
    </w:tbl>
    <w:p w14:paraId="7DDDE676">
      <w:pPr>
        <w:spacing w:after="200"/>
      </w:pPr>
    </w:p>
    <w:p w14:paraId="0FACF9C1">
      <w:pPr>
        <w:spacing w:after="200" w:line="276" w:lineRule="auto"/>
        <w:jc w:val="both"/>
      </w:pPr>
      <w:r>
        <w:rPr>
          <w:sz w:val="22"/>
          <w:szCs w:val="22"/>
        </w:rPr>
        <w:t>The one query that never hits, even at k=5, asks about "building day-to-day rapport" and is routed to a medication-reminders chunk instead of the intended companionship-routine chunk; the two chunks are semantically adjacent (both cover routine caregiver-elder touchpoints), and a bag-of-embeddings retriever does not have enough signal to separate "routine check-in" framing from "rapport-building" framing at this knowledge-base size.</w:t>
      </w:r>
    </w:p>
    <w:p w14:paraId="6E43BA06">
      <w:pPr>
        <w:pStyle w:val="3"/>
        <w:spacing w:before="260" w:after="120"/>
      </w:pPr>
      <w:r>
        <w:t>4.4 Independent safety and escalation evaluation</w:t>
      </w:r>
    </w:p>
    <w:p w14:paraId="31237080">
      <w:pPr>
        <w:spacing w:after="200" w:line="276" w:lineRule="auto"/>
        <w:jc w:val="both"/>
      </w:pPr>
      <w:r>
        <w:rPr>
          <w:sz w:val="22"/>
          <w:szCs w:val="22"/>
        </w:rPr>
        <w:t>A lightweight classifier, kept deliberately separate from the fine-tuned dialogue model, uses embedding-centroid similarity against hand-written exemplar phrases per category plus a hard keyword override that forces ESCALATE on unambiguous crisis phrases regardless of embedding score. It was evaluated on 18 labeled transcripts not used to write the exemplars or the keyword list, avoiding the circularity risk of validating a safety check against the same material used to design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403C4CA5">
        <w:trPr>
          <w:tblHeader/>
        </w:trPr>
        <w:tc>
          <w:tcPr>
            <w:tcW w:w="1872"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563EF62E">
            <w:r>
              <w:rPr>
                <w:b/>
                <w:bCs/>
                <w:color w:val="FFFFFF"/>
                <w:sz w:val="19"/>
                <w:szCs w:val="19"/>
              </w:rPr>
              <w:t>Category</w:t>
            </w:r>
          </w:p>
        </w:tc>
        <w:tc>
          <w:tcPr>
            <w:tcW w:w="1872"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5FE1F964">
            <w:r>
              <w:rPr>
                <w:b/>
                <w:bCs/>
                <w:color w:val="FFFFFF"/>
                <w:sz w:val="19"/>
                <w:szCs w:val="19"/>
              </w:rPr>
              <w:t>Precision</w:t>
            </w:r>
          </w:p>
        </w:tc>
        <w:tc>
          <w:tcPr>
            <w:tcW w:w="1872"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0D6BE6E8">
            <w:r>
              <w:rPr>
                <w:b/>
                <w:bCs/>
                <w:color w:val="FFFFFF"/>
                <w:sz w:val="19"/>
                <w:szCs w:val="19"/>
              </w:rPr>
              <w:t>Recall</w:t>
            </w:r>
          </w:p>
        </w:tc>
        <w:tc>
          <w:tcPr>
            <w:tcW w:w="1872"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26953760">
            <w:r>
              <w:rPr>
                <w:b/>
                <w:bCs/>
                <w:color w:val="FFFFFF"/>
                <w:sz w:val="19"/>
                <w:szCs w:val="19"/>
              </w:rPr>
              <w:t>F1</w:t>
            </w:r>
          </w:p>
        </w:tc>
        <w:tc>
          <w:tcPr>
            <w:tcW w:w="1872"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1333F48A">
            <w:r>
              <w:rPr>
                <w:b/>
                <w:bCs/>
                <w:color w:val="FFFFFF"/>
                <w:sz w:val="19"/>
                <w:szCs w:val="19"/>
              </w:rPr>
              <w:t>Support</w:t>
            </w:r>
          </w:p>
        </w:tc>
      </w:tr>
      <w:tr w14:paraId="4C440F8F">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5D6C428">
            <w:r>
              <w:rPr>
                <w:b w:val="0"/>
                <w:bCs w:val="0"/>
                <w:sz w:val="19"/>
                <w:szCs w:val="19"/>
              </w:rPr>
              <w:t>ROUTINE</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98F2F15">
            <w:r>
              <w:rPr>
                <w:b w:val="0"/>
                <w:bCs w:val="0"/>
                <w:sz w:val="19"/>
                <w:szCs w:val="19"/>
              </w:rPr>
              <w:t>0.833</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7BF0F17">
            <w:r>
              <w:rPr>
                <w:b w:val="0"/>
                <w:bCs w:val="0"/>
                <w:sz w:val="19"/>
                <w:szCs w:val="19"/>
              </w:rPr>
              <w:t>0.833</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0DDCA98">
            <w:r>
              <w:rPr>
                <w:b w:val="0"/>
                <w:bCs w:val="0"/>
                <w:sz w:val="19"/>
                <w:szCs w:val="19"/>
              </w:rPr>
              <w:t>0.833</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1733B30E">
            <w:r>
              <w:rPr>
                <w:b w:val="0"/>
                <w:bCs w:val="0"/>
                <w:sz w:val="19"/>
                <w:szCs w:val="19"/>
              </w:rPr>
              <w:t>6</w:t>
            </w:r>
          </w:p>
        </w:tc>
      </w:tr>
      <w:tr w14:paraId="7E479DC7">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C5E56B2">
            <w:r>
              <w:rPr>
                <w:b w:val="0"/>
                <w:bCs w:val="0"/>
                <w:sz w:val="19"/>
                <w:szCs w:val="19"/>
              </w:rPr>
              <w:t>MILD_DISTRESS</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73791723">
            <w:r>
              <w:rPr>
                <w:b w:val="0"/>
                <w:bCs w:val="0"/>
                <w:sz w:val="19"/>
                <w:szCs w:val="19"/>
              </w:rPr>
              <w:t>1.000</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59ABD97">
            <w:r>
              <w:rPr>
                <w:b w:val="0"/>
                <w:bCs w:val="0"/>
                <w:sz w:val="19"/>
                <w:szCs w:val="19"/>
              </w:rPr>
              <w:t>0.667</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6533573E">
            <w:r>
              <w:rPr>
                <w:b w:val="0"/>
                <w:bCs w:val="0"/>
                <w:sz w:val="19"/>
                <w:szCs w:val="19"/>
              </w:rPr>
              <w:t>0.800</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25AB8681">
            <w:r>
              <w:rPr>
                <w:b w:val="0"/>
                <w:bCs w:val="0"/>
                <w:sz w:val="19"/>
                <w:szCs w:val="19"/>
              </w:rPr>
              <w:t>6</w:t>
            </w:r>
          </w:p>
        </w:tc>
      </w:tr>
      <w:tr w14:paraId="4571424D">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6383716">
            <w:r>
              <w:rPr>
                <w:b w:val="0"/>
                <w:bCs w:val="0"/>
                <w:sz w:val="19"/>
                <w:szCs w:val="19"/>
              </w:rPr>
              <w:t>ESCALATE</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A80A9BB">
            <w:r>
              <w:rPr>
                <w:b w:val="0"/>
                <w:bCs w:val="0"/>
                <w:sz w:val="19"/>
                <w:szCs w:val="19"/>
              </w:rPr>
              <w:t>0.750</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4086BE4F">
            <w:r>
              <w:rPr>
                <w:b w:val="0"/>
                <w:bCs w:val="0"/>
                <w:sz w:val="19"/>
                <w:szCs w:val="19"/>
              </w:rPr>
              <w:t>1.000</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47403FF">
            <w:r>
              <w:rPr>
                <w:b w:val="0"/>
                <w:bCs w:val="0"/>
                <w:sz w:val="19"/>
                <w:szCs w:val="19"/>
              </w:rPr>
              <w:t>0.857</w:t>
            </w:r>
          </w:p>
        </w:tc>
        <w:tc>
          <w:tcPr>
            <w:tcW w:w="1872"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6A44F7D">
            <w:r>
              <w:rPr>
                <w:b w:val="0"/>
                <w:bCs w:val="0"/>
                <w:sz w:val="19"/>
                <w:szCs w:val="19"/>
              </w:rPr>
              <w:t>6</w:t>
            </w:r>
          </w:p>
        </w:tc>
      </w:tr>
    </w:tbl>
    <w:p w14:paraId="5233C74E">
      <w:pPr>
        <w:spacing w:after="200"/>
      </w:pPr>
    </w:p>
    <w:p w14:paraId="34AE9A87">
      <w:pPr>
        <w:spacing w:after="200" w:line="276" w:lineRule="auto"/>
        <w:jc w:val="both"/>
      </w:pPr>
      <w:r>
        <w:rPr>
          <w:sz w:val="22"/>
          <w:szCs w:val="22"/>
        </w:rPr>
        <w:t>Overall accuracy was 83.3% (15/18), with zero false negatives on ESCALATE: every real escalation-worthy transcript was caught, at the cost of some over-triggering on MILD_DISTRESS (precision 0.75). For a companion-robot safety check this is the direction to err in, since a missed escalation is a much worse failure than an unnecessary one, mirroring the same asymmetric-cost reasoning behind the 97% safety-detection figure on the Psychologist Agent project, here with a simpler, non-fine-tuned classifier by design.</w:t>
      </w:r>
    </w:p>
    <w:p w14:paraId="3CDC77C5">
      <w:pPr>
        <w:pStyle w:val="2"/>
        <w:spacing w:before="360" w:after="160"/>
      </w:pPr>
      <w:r>
        <w:t>5. Cross-Track Synthesis: On-Device vs. Cloud-Assisted Architecture</w:t>
      </w:r>
    </w:p>
    <w:p w14:paraId="0BD3D0D6">
      <w:pPr>
        <w:pStyle w:val="3"/>
        <w:spacing w:before="260" w:after="120"/>
      </w:pPr>
      <w:r>
        <w:t>5.1 Compute and deployment trade-offs</w:t>
      </w:r>
    </w:p>
    <w:p w14:paraId="66F79B95">
      <w:pPr>
        <w:spacing w:after="200" w:line="276" w:lineRule="auto"/>
        <w:jc w:val="both"/>
      </w:pPr>
      <w:r>
        <w:rPr>
          <w:sz w:val="22"/>
          <w:szCs w:val="22"/>
        </w:rPr>
        <w:t>Placed side by side, the two technical tracks sit at genuinely different points on InGen's compute spectrum, and that gap is itself the most useful cross-track finding.</w:t>
      </w:r>
    </w:p>
    <w:p w14:paraId="3479A055">
      <w:pPr>
        <w:spacing w:after="200" w:line="276" w:lineRule="auto"/>
        <w:jc w:val="both"/>
      </w:pPr>
      <w:r>
        <w:rPr>
          <w:sz w:val="22"/>
          <w:szCs w:val="22"/>
        </w:rPr>
        <w:t>The Week 2 classifier is small enough (17K parameters, 0.066MB) that it clears its real-time latency budget by roughly 578x in full precision, before any optimization. At this scale, the constraint that actually matters is not speed but memory footprint once a device is running several models at once, which is why quantization's real value here is a 68.6% size reduction, not a speed gain (INT8 was, in fact, about 25x slower on this specific network, because dynamic quantization's per-call overhead outweighs the savings on a matmul this small).</w:t>
      </w:r>
    </w:p>
    <w:p w14:paraId="2782EC55">
      <w:pPr>
        <w:spacing w:after="200" w:line="276" w:lineRule="auto"/>
        <w:jc w:val="both"/>
      </w:pPr>
      <w:r>
        <w:rPr>
          <w:sz w:val="22"/>
          <w:szCs w:val="22"/>
        </w:rPr>
        <w:t>The Week 3 fine-tuning work sits at a completely different scale. Even a model chosen specifically to be small (Qwen2.5-1.5B-Instruct, in the 1-3B range set for GPU-risk mitigation) needed 4-bit quantization and a dedicated CUDA GPU just to train, an environment this Mac could not provide locally. Inference at this scale, even quantized, is a meaningfully heavier compute and memory commitment than the classification track by several orders of magnitude.</w:t>
      </w:r>
    </w:p>
    <w:p w14:paraId="27C0F91E">
      <w:pPr>
        <w:spacing w:after="200" w:line="276" w:lineRule="auto"/>
        <w:jc w:val="both"/>
      </w:pPr>
      <w:r>
        <w:rPr>
          <w:sz w:val="22"/>
          <w:szCs w:val="22"/>
        </w:rPr>
        <w:t>This maps cleanly onto InGen's own product split. Sentinel Prime AI and Aido Rover's classification-heavy detection functions (27 and 14-sensor-fusion respectively) look, based on this week's numbers, like genuinely comfortable on-device workloads with real headroom to run several models simultaneously on shared edge silicon, which is consistent with Sentinel's own stated five-model ensemble on one Jetson AGX Orin. Fari and Senpai's generation components are a different engineering problem: nothing in InGen's public material claims their dialogue generation runs fully on-device without any cloud dependency, and this week's experience fine-tuning and serving even a "small" 1.5B model suggests that claim would be a meaningfully harder one to make than the equivalent claim for a 17K-parameter classifier. A hybrid architecture, on-device retrieval and safety-checking (both cheap, both demonstrated this week to run comfortably at this scale) paired with cloud-assisted or periodically-refreshed generation, looks like a more realistic fit for Fari and Senpai than a fully on-device generation stack, though this report does not have InGen's actual infrastructure numbers to confirm that beyond what the public product pages state.</w:t>
      </w:r>
    </w:p>
    <w:p w14:paraId="1A45458C">
      <w:pPr>
        <w:pStyle w:val="3"/>
        <w:spacing w:before="260" w:after="120"/>
      </w:pPr>
      <w:r>
        <w:t>5.2 Shared evaluation discipline across both tracks</w:t>
      </w:r>
    </w:p>
    <w:p w14:paraId="0B49DD68">
      <w:pPr>
        <w:spacing w:after="200" w:line="276" w:lineRule="auto"/>
        <w:jc w:val="both"/>
      </w:pPr>
      <w:r>
        <w:rPr>
          <w:sz w:val="22"/>
          <w:szCs w:val="22"/>
        </w:rPr>
        <w:t>Despite the different tools, the two tracks share the same set of ground rules, applied consistently. Every reported number comes from a held-out split never used for tuning: the classifier's 15% test split, the fine-tune's held-out 12 prompts and 6 validation pairs, the RAG pipeline's 13 held-out queries, and the safety classifier's 18-transcript labeled set. No safety-relevant check was validated against the data used to design it, since the safety classifier's exemplar phrases and keyword list were written before ever looking at the labeled test transcripts, avoiding the exact circularity risk the Week 3 task description called out explicitly. And a negative or inconvenient result was reported as found rather than rounded off: INT8 quantization turning out slower, not faster; configuration C ending up the worst of three rather than fitting a clean monotonic story; the indirect-warning-sign miss holding across two separate training runs rather than being written off as a one-time fluke.</w:t>
      </w:r>
    </w:p>
    <w:p w14:paraId="21F0E26B">
      <w:pPr>
        <w:spacing w:after="200" w:line="276" w:lineRule="auto"/>
        <w:jc w:val="both"/>
      </w:pPr>
      <w:r>
        <w:rPr>
          <w:sz w:val="22"/>
          <w:szCs w:val="22"/>
        </w:rPr>
        <w:t>This discipline is what makes the two tracks' numbers comparable to each other in Section 5.1 in the first place. A cross-track synthesis built on top of numbers that were not held to the same evaluation standard would not be trustworthy, regardless of how clean the resulting story sounded.</w:t>
      </w:r>
    </w:p>
    <w:p w14:paraId="414F66C1">
      <w:pPr>
        <w:pStyle w:val="2"/>
        <w:spacing w:before="360" w:after="160"/>
      </w:pPr>
      <w:r>
        <w:t>6. Per-Platform Recommendations</w:t>
      </w:r>
    </w:p>
    <w:p w14:paraId="3FE769BB">
      <w:pPr>
        <w:spacing w:after="200" w:line="276" w:lineRule="auto"/>
        <w:jc w:val="both"/>
      </w:pPr>
      <w:r>
        <w:rPr>
          <w:b/>
          <w:bCs/>
          <w:sz w:val="22"/>
          <w:szCs w:val="22"/>
        </w:rPr>
        <w:t>Fari.</w:t>
      </w:r>
      <w:r>
        <w:rPr>
          <w:sz w:val="22"/>
          <w:szCs w:val="22"/>
        </w:rPr>
        <w:t xml:space="preserve"> Pair the fine-tuned conversational layer with an independent, non-generative safety classifier rather than relying on the fine-tuned model to self-police, directly motivated by this week's finding that all three fine-tuned configurations missed the same indirect self-harm warning sign the base model missed. The RAG-plus-safety-check architecture demonstrated in Section 4 is a direct, ready-to-extend pattern for Fari's stated safety requirement that the system never act like a medical professional.</w:t>
      </w:r>
    </w:p>
    <w:p w14:paraId="00AAE815">
      <w:pPr>
        <w:spacing w:after="200" w:line="276" w:lineRule="auto"/>
        <w:jc w:val="both"/>
      </w:pPr>
      <w:r>
        <w:rPr>
          <w:b/>
          <w:bCs/>
          <w:sz w:val="22"/>
          <w:szCs w:val="22"/>
        </w:rPr>
        <w:t>Senpai.</w:t>
      </w:r>
      <w:r>
        <w:rPr>
          <w:sz w:val="22"/>
          <w:szCs w:val="22"/>
        </w:rPr>
        <w:t xml:space="preserve"> The FAISS retrieval pipeline built this week (84.6% hit@1 on a 13-chunk knowledge base) is a directly applicable pattern for grounding Senpai's tutoring responses in curriculum content rather than open-ended generation, which is exactly the groundedness constraint Week 1 identified as Senpai's key requirement. The one retrieval miss this week (two semantically adjacent chunks confused at the embedding level) is a useful cautionary note for a larger curriculum knowledge base: chunk granularity and topic separation need explicit attention as the knowledge base scales past 13 chunks.</w:t>
      </w:r>
    </w:p>
    <w:p w14:paraId="5B962EAA">
      <w:pPr>
        <w:spacing w:after="200" w:line="276" w:lineRule="auto"/>
        <w:jc w:val="both"/>
      </w:pPr>
      <w:r>
        <w:rPr>
          <w:b/>
          <w:bCs/>
          <w:sz w:val="22"/>
          <w:szCs w:val="22"/>
        </w:rPr>
        <w:t>Sentinel Prime AI.</w:t>
      </w:r>
      <w:r>
        <w:rPr>
          <w:sz w:val="22"/>
          <w:szCs w:val="22"/>
        </w:rPr>
        <w:t xml:space="preserve"> This week's classifier result (INT8 quantization: -0.17pp accuracy for -68.6% size, at the cost of being slower, not faster, at this scale) directly informs Sentinel's stated five-model ensemble on one Jetson AGX Orin: quantize for the memory headroom to run more of the platform's 27 detection functions concurrently, not for a latency win that a model this size does not need in the first place.</w:t>
      </w:r>
    </w:p>
    <w:p w14:paraId="4D7B8977">
      <w:pPr>
        <w:spacing w:after="200" w:line="276" w:lineRule="auto"/>
        <w:jc w:val="both"/>
      </w:pPr>
      <w:r>
        <w:rPr>
          <w:b/>
          <w:bCs/>
          <w:sz w:val="22"/>
          <w:szCs w:val="22"/>
        </w:rPr>
        <w:t>Aido Rover.</w:t>
      </w:r>
      <w:r>
        <w:rPr>
          <w:sz w:val="22"/>
          <w:szCs w:val="22"/>
        </w:rPr>
        <w:t xml:space="preserve"> The same accuracy-latency methodology from Section 3 should be re-run against Rover's actual 14-sensor fusion classifier once real sensor data is available, since this week's numbers are from a synthetic proxy dataset, not Rover's real sensor stream. Rover's own design (reliability weighting that shifts per sensor with conditions) pairs naturally with the uncertainty-gating pattern Sentinel already uses, worth evaluating as a shared component across both platforms rather than reimplementing separately.</w:t>
      </w:r>
    </w:p>
    <w:p w14:paraId="1D64622D">
      <w:pPr>
        <w:spacing w:after="200" w:line="276" w:lineRule="auto"/>
        <w:jc w:val="both"/>
      </w:pPr>
      <w:r>
        <w:rPr>
          <w:b/>
          <w:bCs/>
          <w:sz w:val="22"/>
          <w:szCs w:val="22"/>
        </w:rPr>
        <w:t>Aido Humanoid.</w:t>
      </w:r>
      <w:r>
        <w:rPr>
          <w:sz w:val="22"/>
          <w:szCs w:val="22"/>
        </w:rPr>
        <w:t xml:space="preserve"> Neither technical track this engagement directly addresses Humanoid's core problem (planning and policy control via GR00T N1.6 and GRPO-based fine-tuning). The one transferable piece is architectural rather than technical: the principle of keeping a safety governance layer independent of the core policy model, demonstrated in Section 4.4 for dialogue safety, is the same pattern Humanoid's 12 hardwired safety rules already reflect, and is worth stating explicitly as a shared design principle across InGen's products rather than something unique to Fari. Physical planning and real-time multi-robot coordination (HTD-IRL, CRL-MRS) remain genuinely new areas without direct prior experience, flagged honestly in Week 1 and unchanged by Weeks 2-3.</w:t>
      </w:r>
    </w:p>
    <w:p w14:paraId="47B452D6">
      <w:pPr>
        <w:pStyle w:val="2"/>
        <w:spacing w:before="360" w:after="160"/>
      </w:pPr>
      <w:r>
        <w:t>7. Limitations and Next Steps</w:t>
      </w:r>
    </w:p>
    <w:p w14:paraId="2DA8FF4B">
      <w:pPr>
        <w:spacing w:after="200" w:line="276" w:lineRule="auto"/>
        <w:jc w:val="both"/>
      </w:pPr>
      <w:r>
        <w:rPr>
          <w:sz w:val="22"/>
          <w:szCs w:val="22"/>
        </w:rPr>
        <w:t>Both tracks are methodology demonstrations at small scale, not production-ready systems, and should be read as such. The edge classifier trains and evaluates on synthetic data generated to resemble Aido Rover's sensor set, not real sensor logs; the fine-tuning and RAG track uses a 54-pair training set and an 18-transcript safety-evaluation set, small enough that a handful of different labels would move the headline numbers by several points. The QLoRA/DPO ablation ran for a single epoch and a single seed (config A's eval loss shifted from 0.0239 to 0.0266 between two runs on GPU non-determinism alone), so the relative ranking of the three configurations is more trustworthy than the exact loss values.</w:t>
      </w:r>
    </w:p>
    <w:p w14:paraId="0488BD11">
      <w:pPr>
        <w:spacing w:after="200" w:line="276" w:lineRule="auto"/>
        <w:jc w:val="both"/>
      </w:pPr>
      <w:r>
        <w:rPr>
          <w:sz w:val="22"/>
          <w:szCs w:val="22"/>
        </w:rPr>
        <w:t>The cross-track synthesis in Section 5 is itself bounded by the same caveat that opens Section 1: InGen's PIC 2.0 architecture mapping is a hypothesis built from public product pages and the internship Concepts Primer, not confirmed internal specifications, so any on-device-versus-cloud conclusion inherits that same uncertainty rather than standing on InGen's actual infrastructure numbers. The qualitative dialogue evaluation in Section 4.2 also relied on a single evaluator, myself, reading twelve held-out generations per configuration; a second reviewer, or a structured rubric scored by more than one person, would catch disagreements a single pass could miss, the same kind of blind spot that let the indirect-warning-sign gap persist in the training data in the first place.</w:t>
      </w:r>
    </w:p>
    <w:p w14:paraId="4D1C8B03">
      <w:pPr>
        <w:spacing w:after="200" w:line="276" w:lineRule="auto"/>
        <w:jc w:val="both"/>
      </w:pPr>
      <w:r>
        <w:rPr>
          <w:sz w:val="22"/>
          <w:szCs w:val="22"/>
        </w:rPr>
        <w:t>A longer engagement would prioritize, in order: real sensor data for the edge classifier, a substantially larger and more diverse ESCALATE training set specifically targeting indirect warning signs (the one confirmed gap in this week's fine-tune), a second training seed to separate signal from noise in the ablation, a second reviewer for the qualitative dialogue comparison, and a real infrastructure conversation with InGen about what Fari and Senpai's actual generation-serving architecture looks like today, since Section 5's on-device-vs-cloud analysis is currently built entirely from public product-page claims rather than InGen's internal numbers.</w:t>
      </w:r>
    </w:p>
    <w:p w14:paraId="5358FEB5">
      <w:pPr>
        <w:pStyle w:val="2"/>
        <w:spacing w:before="360" w:after="160"/>
      </w:pPr>
      <w:r>
        <w:t>Appendix: Toolchain, Environment, and Reproducibility</w:t>
      </w:r>
    </w:p>
    <w:p w14:paraId="0D5ADDDA">
      <w:pPr>
        <w:spacing w:after="200" w:line="276" w:lineRule="auto"/>
        <w:jc w:val="both"/>
      </w:pPr>
      <w:r>
        <w:rPr>
          <w:sz w:val="22"/>
          <w:szCs w:val="22"/>
        </w:rPr>
        <w:t>Each week's toolchain was scoped to what the task actually needed rather than standardized across all four weeks, since the two technical tracks have genuinely different compute requirements (Section 5.1):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3E0FCAE">
        <w:trPr>
          <w:tblHeader/>
        </w:trPr>
        <w:tc>
          <w:tcPr>
            <w:tcW w:w="312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38DD4812">
            <w:r>
              <w:rPr>
                <w:b/>
                <w:bCs/>
                <w:color w:val="FFFFFF"/>
                <w:sz w:val="19"/>
                <w:szCs w:val="19"/>
              </w:rPr>
              <w:t>Week</w:t>
            </w:r>
          </w:p>
        </w:tc>
        <w:tc>
          <w:tcPr>
            <w:tcW w:w="312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58B7F005">
            <w:r>
              <w:rPr>
                <w:b/>
                <w:bCs/>
                <w:color w:val="FFFFFF"/>
                <w:sz w:val="19"/>
                <w:szCs w:val="19"/>
              </w:rPr>
              <w:t>Core tools</w:t>
            </w:r>
          </w:p>
        </w:tc>
        <w:tc>
          <w:tcPr>
            <w:tcW w:w="312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tcPr>
          <w:p w14:paraId="0B63D1D3">
            <w:r>
              <w:rPr>
                <w:b/>
                <w:bCs/>
                <w:color w:val="FFFFFF"/>
                <w:sz w:val="19"/>
                <w:szCs w:val="19"/>
              </w:rPr>
              <w:t>Compute environment</w:t>
            </w:r>
          </w:p>
        </w:tc>
      </w:tr>
      <w:tr w14:paraId="3C6116AA">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57E337F">
            <w:r>
              <w:rPr>
                <w:b w:val="0"/>
                <w:bCs w:val="0"/>
                <w:sz w:val="19"/>
                <w:szCs w:val="19"/>
              </w:rPr>
              <w:t>1: Landscape &amp; bridge</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20901945">
            <w:r>
              <w:rPr>
                <w:b w:val="0"/>
                <w:bCs w:val="0"/>
                <w:sz w:val="19"/>
                <w:szCs w:val="19"/>
              </w:rPr>
              <w:t xml:space="preserve">Python 3.11, PyTorch 2.x, transformers, peft, faiss (toolchain verification only, </w:t>
            </w:r>
            <w:r>
              <w:rPr>
                <w:rFonts w:ascii="Courier New" w:hAnsi="Courier New" w:eastAsia="Courier New" w:cs="Courier New"/>
                <w:b w:val="0"/>
                <w:bCs w:val="0"/>
                <w:sz w:val="19"/>
                <w:szCs w:val="19"/>
              </w:rPr>
              <w:t>W01_env_check.ipynb</w:t>
            </w:r>
            <w:r>
              <w:rPr>
                <w:b w:val="0"/>
                <w:bCs w:val="0"/>
                <w:sz w:val="19"/>
                <w:szCs w:val="19"/>
              </w:rPr>
              <w:t>)</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73A04DF9">
            <w:r>
              <w:rPr>
                <w:b w:val="0"/>
                <w:bCs w:val="0"/>
                <w:sz w:val="19"/>
                <w:szCs w:val="19"/>
              </w:rPr>
              <w:t>Local (Mac)</w:t>
            </w:r>
          </w:p>
        </w:tc>
      </w:tr>
      <w:tr w14:paraId="4F7E740A">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081F8FB3">
            <w:r>
              <w:rPr>
                <w:b w:val="0"/>
                <w:bCs w:val="0"/>
                <w:sz w:val="19"/>
                <w:szCs w:val="19"/>
              </w:rPr>
              <w:t>2: Edge classifier</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60823C1B">
            <w:r>
              <w:rPr>
                <w:b w:val="0"/>
                <w:bCs w:val="0"/>
                <w:sz w:val="19"/>
                <w:szCs w:val="19"/>
              </w:rPr>
              <w:t>PyTorch 2.x, torch.ao.quantization, scikit-learn, pandas, NumPy, matplotlib</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5221E3CA">
            <w:r>
              <w:rPr>
                <w:b w:val="0"/>
                <w:bCs w:val="0"/>
                <w:sz w:val="19"/>
                <w:szCs w:val="19"/>
              </w:rPr>
              <w:t>Local (Mac, CPU)</w:t>
            </w:r>
          </w:p>
        </w:tc>
      </w:tr>
      <w:tr w14:paraId="4BC9BFDA">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86CABC1">
            <w:r>
              <w:rPr>
                <w:b w:val="0"/>
                <w:bCs w:val="0"/>
                <w:sz w:val="19"/>
                <w:szCs w:val="19"/>
              </w:rPr>
              <w:t>3: Fine-tuning &amp; RAG</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2B634FD5">
            <w:r>
              <w:rPr>
                <w:b w:val="0"/>
                <w:bCs w:val="0"/>
                <w:sz w:val="19"/>
                <w:szCs w:val="19"/>
              </w:rPr>
              <w:t>transformers==4.44.2, peft==0.12.0, accelerate==0.33.0, trl==0.9.6, bitsandbytes, sentence-transformers, faiss-cpu</w:t>
            </w:r>
          </w:p>
        </w:tc>
        <w:tc>
          <w:tcPr>
            <w:tcW w:w="3120" w:type="dxa"/>
            <w:tcBorders>
              <w:top w:val="single" w:color="BFBFBF" w:sz="2" w:space="0"/>
              <w:left w:val="single" w:color="BFBFBF" w:sz="2" w:space="0"/>
              <w:bottom w:val="single" w:color="BFBFBF" w:sz="2" w:space="0"/>
              <w:right w:val="single" w:color="BFBFBF" w:sz="2" w:space="0"/>
            </w:tcBorders>
            <w:tcMar>
              <w:top w:w="80" w:type="dxa"/>
              <w:left w:w="100" w:type="dxa"/>
              <w:bottom w:w="80" w:type="dxa"/>
              <w:right w:w="100" w:type="dxa"/>
            </w:tcMar>
          </w:tcPr>
          <w:p w14:paraId="31725423">
            <w:r>
              <w:rPr>
                <w:b w:val="0"/>
                <w:bCs w:val="0"/>
                <w:sz w:val="19"/>
                <w:szCs w:val="19"/>
              </w:rPr>
              <w:t>Local (Mac, dry-run only) + Colab (Tesla T4 GPU) for the real ablation</w:t>
            </w:r>
          </w:p>
        </w:tc>
      </w:tr>
    </w:tbl>
    <w:p w14:paraId="51BDFDDD">
      <w:pPr>
        <w:spacing w:after="200"/>
      </w:pPr>
    </w:p>
    <w:p w14:paraId="0170078C">
      <w:pPr>
        <w:spacing w:after="200" w:line="276" w:lineRule="auto"/>
        <w:jc w:val="both"/>
      </w:pPr>
      <w:r>
        <w:rPr>
          <w:sz w:val="22"/>
          <w:szCs w:val="22"/>
        </w:rPr>
        <w:t>Week 3's local environment runs on this Mac's torch 2.2.2, the last macOS x86_64 PyTorch build, which in turn caps numpy&lt;2, scipy&lt;1.13, and scikit-learn&lt;1.5 for ABI compatibility; this pin is specific to local development and does not apply to the Colab environment, which supplies its own CUDA-enabled torch build.</w:t>
      </w:r>
    </w:p>
    <w:p w14:paraId="69C1C21D">
      <w:pPr>
        <w:spacing w:after="200" w:line="276" w:lineRule="auto"/>
        <w:jc w:val="both"/>
      </w:pPr>
      <w:r>
        <w:rPr>
          <w:sz w:val="22"/>
          <w:szCs w:val="22"/>
        </w:rPr>
        <w:t xml:space="preserve">Two environment problems from Week 3 were significant enough to be worth recording here rather than only in code comments, since they cost real debugging time and would recur for anyone re-running this work. First, </w:t>
      </w:r>
      <w:r>
        <w:rPr>
          <w:rFonts w:ascii="Courier New" w:hAnsi="Courier New" w:eastAsia="Courier New" w:cs="Courier New"/>
          <w:sz w:val="22"/>
          <w:szCs w:val="22"/>
        </w:rPr>
        <w:t>trl</w:t>
      </w:r>
      <w:r>
        <w:rPr>
          <w:sz w:val="22"/>
          <w:szCs w:val="22"/>
        </w:rPr>
        <w:t xml:space="preserve"> 0.9.6's automatic dtype handling for 4-bit models leaves normalization layers and the language-modeling head on different floating-point precisions with no working bridge during evaluation; this was traced to the </w:t>
      </w:r>
      <w:r>
        <w:rPr>
          <w:rFonts w:ascii="Courier New" w:hAnsi="Courier New" w:eastAsia="Courier New" w:cs="Courier New"/>
          <w:sz w:val="22"/>
          <w:szCs w:val="22"/>
        </w:rPr>
        <w:t>trl</w:t>
      </w:r>
      <w:r>
        <w:rPr>
          <w:sz w:val="22"/>
          <w:szCs w:val="22"/>
        </w:rPr>
        <w:t xml:space="preserve"> and </w:t>
      </w:r>
      <w:r>
        <w:rPr>
          <w:rFonts w:ascii="Courier New" w:hAnsi="Courier New" w:eastAsia="Courier New" w:cs="Courier New"/>
          <w:sz w:val="22"/>
          <w:szCs w:val="22"/>
        </w:rPr>
        <w:t>peft</w:t>
      </w:r>
      <w:r>
        <w:rPr>
          <w:sz w:val="22"/>
          <w:szCs w:val="22"/>
        </w:rPr>
        <w:t xml:space="preserve"> source directly and fixed by explicitly unifying every non-4bit-quantized module's dtype after the trainer wraps the model, rather than by trial and error. Second, Colab's session storage does not survive the runtime restart needed to pick up freshly installed package versions, so uploaded data files have to be re-uploaded after reconnecting, not before, or the next cell fails with a plain file-not-found error; this was hit on two separate runs before being documented as a known step rather than a one-off mistake.</w:t>
      </w:r>
    </w:p>
    <w:p w14:paraId="2E2D076C">
      <w:pPr>
        <w:spacing w:after="200" w:line="276" w:lineRule="auto"/>
        <w:jc w:val="both"/>
      </w:pPr>
      <w:r>
        <w:rPr>
          <w:sz w:val="22"/>
          <w:szCs w:val="22"/>
        </w:rPr>
        <w:t>All code, data, and this report are version-controlled at github.com/ks815/yihang-ingen-ml-nn-intern, organized by week (</w:t>
      </w:r>
      <w:r>
        <w:rPr>
          <w:rFonts w:ascii="Courier New" w:hAnsi="Courier New" w:eastAsia="Courier New" w:cs="Courier New"/>
          <w:sz w:val="22"/>
          <w:szCs w:val="22"/>
        </w:rPr>
        <w:t>week01_landscape/</w:t>
      </w:r>
      <w:r>
        <w:rPr>
          <w:sz w:val="22"/>
          <w:szCs w:val="22"/>
        </w:rPr>
        <w:t xml:space="preserve">, </w:t>
      </w:r>
      <w:r>
        <w:rPr>
          <w:rFonts w:ascii="Courier New" w:hAnsi="Courier New" w:eastAsia="Courier New" w:cs="Courier New"/>
          <w:sz w:val="22"/>
          <w:szCs w:val="22"/>
        </w:rPr>
        <w:t>week02_edge_classifier/</w:t>
      </w:r>
      <w:r>
        <w:rPr>
          <w:sz w:val="22"/>
          <w:szCs w:val="22"/>
        </w:rPr>
        <w:t xml:space="preserve">, </w:t>
      </w:r>
      <w:r>
        <w:rPr>
          <w:rFonts w:ascii="Courier New" w:hAnsi="Courier New" w:eastAsia="Courier New" w:cs="Courier New"/>
          <w:sz w:val="22"/>
          <w:szCs w:val="22"/>
        </w:rPr>
        <w:t>week03_finetune_rag/</w:t>
      </w:r>
      <w:r>
        <w:rPr>
          <w:sz w:val="22"/>
          <w:szCs w:val="22"/>
        </w:rPr>
        <w:t xml:space="preserve">, </w:t>
      </w:r>
      <w:r>
        <w:rPr>
          <w:rFonts w:ascii="Courier New" w:hAnsi="Courier New" w:eastAsia="Courier New" w:cs="Courier New"/>
          <w:sz w:val="22"/>
          <w:szCs w:val="22"/>
        </w:rPr>
        <w:t>week04_capstone/</w:t>
      </w:r>
      <w:r>
        <w:rPr>
          <w:sz w:val="22"/>
          <w:szCs w:val="22"/>
        </w:rPr>
        <w:t xml:space="preserve">), with a weekly recap under </w:t>
      </w:r>
      <w:r>
        <w:rPr>
          <w:rFonts w:ascii="Courier New" w:hAnsi="Courier New" w:eastAsia="Courier New" w:cs="Courier New"/>
          <w:sz w:val="22"/>
          <w:szCs w:val="22"/>
        </w:rPr>
        <w:t>weekly/</w:t>
      </w:r>
      <w:r>
        <w:rPr>
          <w:sz w:val="22"/>
          <w:szCs w:val="22"/>
        </w:rPr>
        <w:t xml:space="preserve"> for each of the four weeks. The repository is tagged v1.0 at the close of this engagement.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6"/>
  <w:displayBackgroundShape w:val="1"/>
  <w:documentProtection w:enforcement="0"/>
  <w:compat>
    <w:compatSetting w:name="compatibilityMode" w:uri="http://schemas.microsoft.com/office/word" w:val="15"/>
  </w:compat>
  <w:rsids>
    <w:rsidRoot w:val="00000000"/>
    <w:rsid w:val="7DFCF1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3738</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Sun</cp:lastModifiedBy>
  <dcterms:modified xsi:type="dcterms:W3CDTF">2026-08-07T22:50:41Z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A4F28ABAFB2F07738199766A7297273D_42</vt:lpwstr>
  </property>
</Properties>
</file>