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are some topics and their order for a non-coder's quick Python tutorial, focusing on practicality and engagement: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Introduction (5 minutes):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What is Python and why is it popular?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Briefly explain its uses and ease of learning.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Setting up Python: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Guide them through installing and running Python (choose a beginner-friendly platform like online editors or Anaconda).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Basic code structure: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Show a simple print statement and explain lines, commands, and indentation.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Variables and Data Types (10 minutes):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Storing information: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Explain variables and how they hold data like numbers or text.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types: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Introduce integers, floats, strings, and booleans with examples.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input: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Demonstrate how to get input from the user using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input()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Operations and Math (10 minutes):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Basic arithmetic operators: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Show addition, subtraction, multiplication, and division with examples.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Comparison operators: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Introduce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==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!=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&lt;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&gt;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etc., for comparisons.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Simple calculations and formulas: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 operators to create basic calculations like area or distance.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Control Flow (15 minutes):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Making decisions with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if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statements: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Explain how to control code based on conditions.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Branching with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elif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else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Show how to handle multiple conditions.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Loops with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for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while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Demonstrate repeating code for lists or specific times.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Putting it all together (15 minutes):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Building a mini-project: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Combine the learned concepts into a small program like a guessing game or a quiz.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Debugging: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Briefly explain how to find and fix errors in their code.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Next steps and resources: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Point them towards further learning materials and communities.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Bonus: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Show real-world applications of Python: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Briefly mention how Python is used in data science, web development, or automation to spark interest.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 visuals and humor: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Incorporate diagrams, screenshots, or jokes to keep the learning process engaging.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Encourage experimentation: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Let them play around with the code and modify examples to solidify understanding.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Remember, this is a quick guide. Adjust the time and depth based on your audience's pace and interests. Keep it fun, practical, and focused on building confidence in their first steps with Python!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