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AB8A4" w14:textId="56044B51" w:rsidR="00E02126" w:rsidRPr="0015622F" w:rsidRDefault="0015622F">
      <w:pPr>
        <w:rPr>
          <w:b/>
          <w:bCs/>
        </w:rPr>
      </w:pPr>
      <w:r w:rsidRPr="0015622F">
        <w:rPr>
          <w:b/>
          <w:bCs/>
        </w:rPr>
        <w:t>RA:</w:t>
      </w:r>
      <w:r w:rsidR="00FB02E2">
        <w:rPr>
          <w:b/>
          <w:bCs/>
        </w:rPr>
        <w:t xml:space="preserve"> Kyra Sadovi</w:t>
      </w:r>
    </w:p>
    <w:p w14:paraId="581F9E42" w14:textId="04D6764A" w:rsidR="0015622F" w:rsidRPr="0015622F" w:rsidRDefault="0015622F" w:rsidP="00344160">
      <w:pPr>
        <w:pBdr>
          <w:bottom w:val="single" w:sz="4" w:space="1" w:color="auto"/>
        </w:pBdr>
        <w:rPr>
          <w:b/>
          <w:bCs/>
        </w:rPr>
      </w:pPr>
      <w:r w:rsidRPr="0015622F">
        <w:rPr>
          <w:b/>
          <w:bCs/>
        </w:rPr>
        <w:t>Mentor:</w:t>
      </w:r>
      <w:r w:rsidR="00FB02E2">
        <w:rPr>
          <w:b/>
          <w:bCs/>
        </w:rPr>
        <w:t xml:space="preserve"> Daniel Ringo</w:t>
      </w:r>
    </w:p>
    <w:p w14:paraId="0BA2D055" w14:textId="0A2CEC05" w:rsidR="0015622F" w:rsidRPr="0015622F" w:rsidRDefault="0015622F" w:rsidP="00FB02E2">
      <w:pPr>
        <w:rPr>
          <w:i/>
          <w:iCs/>
        </w:rPr>
      </w:pPr>
      <w:r w:rsidRPr="0015622F">
        <w:rPr>
          <w:b/>
          <w:bCs/>
        </w:rPr>
        <w:t>My research question is:</w:t>
      </w:r>
    </w:p>
    <w:p w14:paraId="5AAACD7A" w14:textId="7E47647F" w:rsidR="0015622F" w:rsidRPr="00FB02E2" w:rsidRDefault="00FB02E2" w:rsidP="0015622F">
      <w:pPr>
        <w:rPr>
          <w:b/>
          <w:bCs/>
        </w:rPr>
      </w:pPr>
      <w:r>
        <w:t xml:space="preserve">How does increased access to public transit affect </w:t>
      </w:r>
      <w:r w:rsidRPr="000C7E6E">
        <w:t>local mortgage delinquencie</w:t>
      </w:r>
      <w:r w:rsidR="000C7E6E" w:rsidRPr="000C7E6E">
        <w:t>s</w:t>
      </w:r>
      <w:r w:rsidR="00A64462" w:rsidRPr="00A64462">
        <w:t>?</w:t>
      </w:r>
    </w:p>
    <w:p w14:paraId="001F06A7" w14:textId="563CED35" w:rsidR="0015622F" w:rsidRDefault="0015622F" w:rsidP="0015622F">
      <w:pPr>
        <w:rPr>
          <w:b/>
          <w:bCs/>
        </w:rPr>
      </w:pPr>
      <w:r w:rsidRPr="0015622F">
        <w:rPr>
          <w:b/>
          <w:bCs/>
        </w:rPr>
        <w:t>The broader impacts of my research question are:</w:t>
      </w:r>
    </w:p>
    <w:p w14:paraId="7A650090" w14:textId="4F21522A" w:rsidR="0015622F" w:rsidRPr="0015622F" w:rsidRDefault="00F507C5" w:rsidP="0015622F">
      <w:pPr>
        <w:rPr>
          <w:i/>
          <w:iCs/>
        </w:rPr>
      </w:pPr>
      <w:r>
        <w:rPr>
          <w:i/>
          <w:iCs/>
        </w:rPr>
        <w:t>(</w:t>
      </w:r>
      <w:r w:rsidR="0015622F">
        <w:rPr>
          <w:i/>
          <w:iCs/>
        </w:rPr>
        <w:t>In order of importance</w:t>
      </w:r>
      <w:r>
        <w:rPr>
          <w:i/>
          <w:iCs/>
        </w:rPr>
        <w:t>)</w:t>
      </w:r>
    </w:p>
    <w:p w14:paraId="59DF258D" w14:textId="2F2A17A1" w:rsidR="0015622F" w:rsidRDefault="00FB02E2" w:rsidP="0015622F">
      <w:pPr>
        <w:pStyle w:val="ListParagraph"/>
        <w:numPr>
          <w:ilvl w:val="0"/>
          <w:numId w:val="4"/>
        </w:numPr>
      </w:pPr>
      <w:r>
        <w:t>Understanding whether public transit could be a mechanism to address inequality between high-resource and low-resource areas</w:t>
      </w:r>
      <w:r w:rsidR="00A64462">
        <w:t>.</w:t>
      </w:r>
    </w:p>
    <w:p w14:paraId="1C1F6A25" w14:textId="6AA5C430" w:rsidR="00FB02E2" w:rsidRDefault="000C7E6E" w:rsidP="0015622F">
      <w:pPr>
        <w:pStyle w:val="ListParagraph"/>
        <w:numPr>
          <w:ilvl w:val="0"/>
          <w:numId w:val="4"/>
        </w:numPr>
      </w:pPr>
      <w:r>
        <w:t xml:space="preserve">Learning about </w:t>
      </w:r>
      <w:r w:rsidR="00A64462">
        <w:t>the benefit of public investment in these projects</w:t>
      </w:r>
      <w:r w:rsidR="002F3099">
        <w:t>.</w:t>
      </w:r>
    </w:p>
    <w:p w14:paraId="4B9004AB" w14:textId="0823B1B7" w:rsidR="00344160" w:rsidRPr="00374764" w:rsidRDefault="00A64462" w:rsidP="0015622F">
      <w:pPr>
        <w:pStyle w:val="ListParagraph"/>
        <w:numPr>
          <w:ilvl w:val="0"/>
          <w:numId w:val="4"/>
        </w:numPr>
      </w:pPr>
      <w:r>
        <w:t xml:space="preserve">Measuring the impact of public goods like transit </w:t>
      </w:r>
      <w:r w:rsidR="002F3099">
        <w:t>on the financial health of residents.</w:t>
      </w:r>
    </w:p>
    <w:p w14:paraId="023EFC09" w14:textId="729C5461" w:rsidR="0015622F" w:rsidRPr="0015622F" w:rsidRDefault="0015622F" w:rsidP="000C7E6E">
      <w:pPr>
        <w:rPr>
          <w:i/>
          <w:iCs/>
        </w:rPr>
      </w:pPr>
      <w:r w:rsidRPr="0015622F">
        <w:rPr>
          <w:b/>
          <w:bCs/>
        </w:rPr>
        <w:t>The regression specification I would run to answer my question is:</w:t>
      </w:r>
    </w:p>
    <w:p w14:paraId="68315648" w14:textId="549E8D13" w:rsidR="00A64462" w:rsidRPr="00A64462" w:rsidRDefault="000C7E6E" w:rsidP="0015622F">
      <w:pPr>
        <w:rPr>
          <w:rFonts w:eastAsiaTheme="minorEastAsia"/>
          <w:iCs/>
        </w:rPr>
      </w:pPr>
      <m:oMathPara>
        <m:oMath>
          <m:r>
            <w:rPr>
              <w:rFonts w:ascii="Cambria Math" w:hAnsi="Cambria Math"/>
            </w:rPr>
            <m:t>P</m:t>
          </m:r>
          <m:d>
            <m:dPr>
              <m:ctrlPr>
                <w:rPr>
                  <w:rFonts w:ascii="Cambria Math" w:hAnsi="Cambria Math"/>
                  <w:i/>
                </w:rPr>
              </m:ctrlPr>
            </m:dPr>
            <m:e>
              <m:r>
                <w:rPr>
                  <w:rFonts w:ascii="Cambria Math" w:hAnsi="Cambria Math"/>
                </w:rPr>
                <m:t>defaul</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i,b</m:t>
              </m:r>
              <m:r>
                <w:rPr>
                  <w:rFonts w:ascii="Cambria Math" w:hAnsi="Cambria Math"/>
                </w:rPr>
                <m:t>,t</m:t>
              </m:r>
            </m:sub>
          </m:sSub>
          <m:r>
            <w:rPr>
              <w:rFonts w:ascii="Cambria Math" w:hAnsi="Cambria Math"/>
            </w:rPr>
            <m:t>β+</m:t>
          </m:r>
          <m:d>
            <m:dPr>
              <m:ctrlPr>
                <w:rPr>
                  <w:rFonts w:ascii="Cambria Math" w:hAnsi="Cambria Math"/>
                  <w:i/>
                </w:rPr>
              </m:ctrlPr>
            </m:dPr>
            <m:e>
              <m:r>
                <w:rPr>
                  <w:rFonts w:ascii="Cambria Math" w:hAnsi="Cambria Math"/>
                </w:rPr>
                <m:t>Status</m:t>
              </m:r>
            </m:e>
          </m:d>
          <m:sSub>
            <m:sSubPr>
              <m:ctrlPr>
                <w:rPr>
                  <w:rFonts w:ascii="Cambria Math" w:hAnsi="Cambria Math"/>
                  <w:i/>
                </w:rPr>
              </m:ctrlPr>
            </m:sSubPr>
            <m:e>
              <m:r>
                <w:rPr>
                  <w:rFonts w:ascii="Cambria Math" w:hAnsi="Cambria Math"/>
                </w:rPr>
                <m:t>λ</m:t>
              </m:r>
            </m:e>
            <m:sub>
              <m:r>
                <w:rPr>
                  <w:rFonts w:ascii="Cambria Math" w:hAnsi="Cambria Math"/>
                </w:rPr>
                <m:t>t</m:t>
              </m:r>
              <m:r>
                <w:rPr>
                  <w:rFonts w:ascii="Cambria Math" w:hAnsi="Cambria Math"/>
                </w:rPr>
                <m:t>,</m:t>
              </m:r>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i,b</m:t>
              </m:r>
              <m:r>
                <w:rPr>
                  <w:rFonts w:ascii="Cambria Math" w:hAnsi="Cambria Math"/>
                </w:rPr>
                <m:t>,t</m:t>
              </m:r>
            </m:sub>
          </m:sSub>
        </m:oMath>
      </m:oMathPara>
    </w:p>
    <w:p w14:paraId="432CB1CF" w14:textId="77777777" w:rsidR="00D66958" w:rsidRPr="00D66958" w:rsidRDefault="0015622F" w:rsidP="00D66958">
      <w:pPr>
        <w:pStyle w:val="ListParagraph"/>
        <w:numPr>
          <w:ilvl w:val="0"/>
          <w:numId w:val="6"/>
        </w:numPr>
      </w:pPr>
      <w:r w:rsidRPr="0015622F">
        <w:rPr>
          <w:b/>
          <w:bCs/>
        </w:rPr>
        <w:t>I would measure these variables as follows</w:t>
      </w:r>
      <w:r>
        <w:t>:</w:t>
      </w:r>
    </w:p>
    <w:p w14:paraId="642ECE33" w14:textId="33938BE8" w:rsidR="00FB02E2" w:rsidRDefault="00CA2F38" w:rsidP="00D66958">
      <w:pPr>
        <w:pStyle w:val="ListParagraph"/>
        <w:ind w:left="1080"/>
      </w:pPr>
      <w:r>
        <w:t>Probability</w:t>
      </w:r>
      <w:r w:rsidR="000C7E6E">
        <w:t xml:space="preserve"> of mortgage default</w:t>
      </w:r>
      <w:r w:rsidR="00A64462">
        <w:t xml:space="preserve">: percent </w:t>
      </w:r>
    </w:p>
    <w:p w14:paraId="40047C69" w14:textId="621066E9" w:rsidR="00A64462" w:rsidRDefault="00A64462" w:rsidP="00F507C5">
      <w:pPr>
        <w:ind w:left="1080"/>
      </w:pPr>
      <w:r>
        <w:t>Status of project (delayed or completed): dummy</w:t>
      </w:r>
    </w:p>
    <w:p w14:paraId="2A48EFC8" w14:textId="527C121E" w:rsidR="00A64462" w:rsidRDefault="00A64462" w:rsidP="00F507C5">
      <w:pPr>
        <w:ind w:left="1080"/>
        <w:rPr>
          <w:rFonts w:eastAsiaTheme="minorEastAsia"/>
        </w:rPr>
      </w:pPr>
      <w:r>
        <w:t>Block-level fixed effects (</w:t>
      </w:r>
      <m:oMath>
        <m:sSub>
          <m:sSubPr>
            <m:ctrlPr>
              <w:rPr>
                <w:rFonts w:ascii="Cambria Math" w:hAnsi="Cambria Math"/>
                <w:i/>
              </w:rPr>
            </m:ctrlPr>
          </m:sSubPr>
          <m:e>
            <m:r>
              <w:rPr>
                <w:rFonts w:ascii="Cambria Math" w:hAnsi="Cambria Math"/>
              </w:rPr>
              <m:t>θ</m:t>
            </m:r>
          </m:e>
          <m:sub>
            <m:r>
              <w:rPr>
                <w:rFonts w:ascii="Cambria Math" w:hAnsi="Cambria Math"/>
              </w:rPr>
              <m:t>b</m:t>
            </m:r>
          </m:sub>
        </m:sSub>
      </m:oMath>
      <w:r>
        <w:rPr>
          <w:rFonts w:eastAsiaTheme="minorEastAsia"/>
        </w:rPr>
        <w:t>): dummy</w:t>
      </w:r>
    </w:p>
    <w:p w14:paraId="7CCFF04C" w14:textId="794E421E" w:rsidR="00A64462" w:rsidRPr="000C7E6E" w:rsidRDefault="00A64462" w:rsidP="00F507C5">
      <w:pPr>
        <w:ind w:left="1080"/>
      </w:pPr>
      <w:r>
        <w:rPr>
          <w:rFonts w:eastAsiaTheme="minorEastAsia"/>
        </w:rPr>
        <w:t>Time fixed effects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t</m:t>
            </m:r>
          </m:sub>
        </m:sSub>
      </m:oMath>
      <w:r>
        <w:rPr>
          <w:rFonts w:eastAsiaTheme="minorEastAsia"/>
        </w:rPr>
        <w:t xml:space="preserve">): dummy </w:t>
      </w:r>
    </w:p>
    <w:p w14:paraId="66EC4E63" w14:textId="77777777" w:rsidR="0015622F" w:rsidRDefault="0015622F" w:rsidP="0015622F">
      <w:pPr>
        <w:pStyle w:val="ListParagraph"/>
        <w:ind w:left="1080"/>
      </w:pPr>
    </w:p>
    <w:p w14:paraId="48AF036A" w14:textId="77777777" w:rsidR="0015622F" w:rsidRPr="0015622F" w:rsidRDefault="0015622F" w:rsidP="0015622F">
      <w:pPr>
        <w:pStyle w:val="ListParagraph"/>
        <w:numPr>
          <w:ilvl w:val="0"/>
          <w:numId w:val="6"/>
        </w:numPr>
        <w:rPr>
          <w:b/>
          <w:bCs/>
        </w:rPr>
      </w:pPr>
      <w:r w:rsidRPr="0015622F">
        <w:rPr>
          <w:b/>
          <w:bCs/>
        </w:rPr>
        <w:t xml:space="preserve">Important control variables are the following </w:t>
      </w:r>
    </w:p>
    <w:p w14:paraId="52EEF39B" w14:textId="0FF027F2" w:rsidR="00344160" w:rsidRDefault="005D3EBE" w:rsidP="00FB02E2">
      <w:pPr>
        <w:pStyle w:val="ListParagraph"/>
        <w:ind w:left="1080"/>
        <w:rPr>
          <w:i/>
          <w:iCs/>
        </w:rPr>
      </w:pPr>
      <w:r>
        <w:rPr>
          <w:i/>
          <w:iCs/>
        </w:rPr>
        <w:t>(</w:t>
      </w:r>
      <w:r w:rsidR="0015622F" w:rsidRPr="00F507C5">
        <w:rPr>
          <w:i/>
          <w:iCs/>
        </w:rPr>
        <w:t>Include a quick explanation of why it’s important to control for this variable</w:t>
      </w:r>
      <w:r>
        <w:rPr>
          <w:i/>
          <w:iCs/>
        </w:rPr>
        <w:t>)</w:t>
      </w:r>
    </w:p>
    <w:p w14:paraId="0B39356D" w14:textId="1EC3BC5D" w:rsidR="00FB02E2" w:rsidRDefault="00FB02E2" w:rsidP="00FB02E2">
      <w:pPr>
        <w:pStyle w:val="ListParagraph"/>
        <w:ind w:left="1080"/>
      </w:pPr>
      <w:r w:rsidRPr="00FB02E2">
        <w:rPr>
          <w:u w:val="single"/>
        </w:rPr>
        <w:t>Pre-opening transit score</w:t>
      </w:r>
      <w:r>
        <w:t xml:space="preserve">: I want to identify areas that experience an increase in transit access. I need to </w:t>
      </w:r>
      <w:r w:rsidR="00A64462">
        <w:t>be comparing blocks which had similar levels of transit access before the opening of a station.</w:t>
      </w:r>
    </w:p>
    <w:p w14:paraId="561DF69A" w14:textId="568A6256" w:rsidR="002F3099" w:rsidRDefault="002F3099" w:rsidP="00FB02E2">
      <w:pPr>
        <w:pStyle w:val="ListParagraph"/>
        <w:ind w:left="1080"/>
      </w:pPr>
    </w:p>
    <w:p w14:paraId="09185E4C" w14:textId="426631E2" w:rsidR="00CA2F38" w:rsidRPr="00CA2F38" w:rsidRDefault="00CA2F38" w:rsidP="00CA2F38">
      <w:pPr>
        <w:pStyle w:val="ListParagraph"/>
        <w:ind w:left="1080"/>
      </w:pPr>
      <w:r>
        <w:rPr>
          <w:u w:val="single"/>
        </w:rPr>
        <w:t xml:space="preserve">Income level: </w:t>
      </w:r>
      <w:r>
        <w:t>In an ideal world, I</w:t>
      </w:r>
      <w:r w:rsidR="00AD46FC">
        <w:t xml:space="preserve"> woul</w:t>
      </w:r>
      <w:r>
        <w:t xml:space="preserve">d be able to run this model with two datasets: one with high-income areas and one with low-income areas. That way, I would be able to measure the difference in the effect of increased access to public transit as it varies by income. </w:t>
      </w:r>
    </w:p>
    <w:p w14:paraId="1B7CC916" w14:textId="1D3B0D89" w:rsidR="00D66958" w:rsidRDefault="00D66958" w:rsidP="00FB02E2">
      <w:pPr>
        <w:pStyle w:val="ListParagraph"/>
        <w:ind w:left="1080"/>
      </w:pPr>
    </w:p>
    <w:p w14:paraId="30F19C22" w14:textId="13E5768F" w:rsidR="00D66958" w:rsidRDefault="001974F2" w:rsidP="00FB02E2">
      <w:pPr>
        <w:pStyle w:val="ListParagraph"/>
        <w:ind w:left="1080"/>
        <w:rPr>
          <w:u w:val="single"/>
        </w:rPr>
      </w:pPr>
      <w:r>
        <w:rPr>
          <w:u w:val="single"/>
        </w:rPr>
        <w:t>Car ownership:</w:t>
      </w:r>
      <w:r>
        <w:t xml:space="preserve"> The impact of increased public transit access will differ among car owners and public transit commuters. However, I postulate that the outcome will still be interesting for car owners, as the likelihood that they buy a second car or replace an old one might decrease after more transit options arise in their area. </w:t>
      </w:r>
    </w:p>
    <w:p w14:paraId="4C6D2F16" w14:textId="77777777" w:rsidR="00D66958" w:rsidRPr="00D66958" w:rsidRDefault="00D66958" w:rsidP="00FB02E2">
      <w:pPr>
        <w:pStyle w:val="ListParagraph"/>
        <w:ind w:left="1080"/>
        <w:rPr>
          <w:u w:val="single"/>
        </w:rPr>
      </w:pPr>
    </w:p>
    <w:p w14:paraId="39B2259C" w14:textId="6F0FF9CC" w:rsidR="00F507C5" w:rsidRPr="00F507C5" w:rsidRDefault="0015622F" w:rsidP="0015622F">
      <w:pPr>
        <w:rPr>
          <w:b/>
          <w:bCs/>
        </w:rPr>
      </w:pPr>
      <w:r w:rsidRPr="00F507C5">
        <w:rPr>
          <w:b/>
          <w:bCs/>
        </w:rPr>
        <w:t>My identification strategy for this question is</w:t>
      </w:r>
      <w:r w:rsidR="00F507C5" w:rsidRPr="00F507C5">
        <w:rPr>
          <w:b/>
          <w:bCs/>
        </w:rPr>
        <w:t>:</w:t>
      </w:r>
    </w:p>
    <w:p w14:paraId="158B51C6" w14:textId="5D296D77" w:rsidR="0015622F" w:rsidRDefault="00FB02E2">
      <w:r>
        <w:lastRenderedPageBreak/>
        <w:t>Delays are almost inevitable in any construction project, and par for the course when it comes to publicly financed transit projects. Comparing projects that are delayed to projects that have been successfully completed will allow me to exploit the variation that results from obstacles that arise in the construction process</w:t>
      </w:r>
      <w:r w:rsidR="00A64462">
        <w:t>.</w:t>
      </w:r>
      <w:r w:rsidR="00374764">
        <w:t xml:space="preserve"> The reason this variation is useful to me is because it results from a number of characteristics that are (mostly) exogenous to the characteristics relevant to my question. For example, elections can make or break proposed transit projects, see MD Gov. Hogan’s promise to terminate the Red Line light rail project in Baltimore or NJ Gov. Chris Christie’s decision to kill the ARC tunnel project between </w:t>
      </w:r>
      <w:r w:rsidR="00D67794">
        <w:t xml:space="preserve">NJ and Manhattan. Further, delays as a result of environmental reviews, while more likely to occur in high-income areas than in low-income areas, are still a universal potential, and delays would only occur in areas which happen to house an environmentally relevant characteristic (see one of the most recent purple line delays). While delays will not always be completely random, they are frequently a result of processes that each project has to complete (like environmental reviews), and the reasons one project might be delayed while another is greenlit can be a result of natural or exogenous characteristics. </w:t>
      </w:r>
    </w:p>
    <w:sectPr w:rsidR="0015622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37E93" w14:textId="77777777" w:rsidR="00F507C5" w:rsidRDefault="00F507C5" w:rsidP="00F507C5">
      <w:pPr>
        <w:spacing w:after="0" w:line="240" w:lineRule="auto"/>
      </w:pPr>
      <w:r>
        <w:separator/>
      </w:r>
    </w:p>
  </w:endnote>
  <w:endnote w:type="continuationSeparator" w:id="0">
    <w:p w14:paraId="37269D32" w14:textId="77777777" w:rsidR="00F507C5" w:rsidRDefault="00F507C5" w:rsidP="00F50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F553F" w14:textId="77777777" w:rsidR="00F507C5" w:rsidRDefault="00F507C5" w:rsidP="00F507C5">
      <w:pPr>
        <w:spacing w:after="0" w:line="240" w:lineRule="auto"/>
      </w:pPr>
      <w:r>
        <w:separator/>
      </w:r>
    </w:p>
  </w:footnote>
  <w:footnote w:type="continuationSeparator" w:id="0">
    <w:p w14:paraId="374D2A2E" w14:textId="77777777" w:rsidR="00F507C5" w:rsidRDefault="00F507C5" w:rsidP="00F50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7EDA7" w14:textId="63FC7307" w:rsidR="00BF26F5" w:rsidRDefault="00BF26F5">
    <w:pPr>
      <w:pStyle w:val="Header"/>
    </w:pPr>
    <w:r>
      <w:rPr>
        <w:noProof/>
      </w:rPr>
      <mc:AlternateContent>
        <mc:Choice Requires="wps">
          <w:drawing>
            <wp:anchor distT="0" distB="0" distL="114300" distR="114300" simplePos="0" relativeHeight="251659264" behindDoc="0" locked="0" layoutInCell="0" allowOverlap="1" wp14:anchorId="66D5C85B" wp14:editId="5D99E479">
              <wp:simplePos x="0" y="0"/>
              <wp:positionH relativeFrom="page">
                <wp:posOffset>0</wp:posOffset>
              </wp:positionH>
              <wp:positionV relativeFrom="page">
                <wp:posOffset>190500</wp:posOffset>
              </wp:positionV>
              <wp:extent cx="7772400" cy="273050"/>
              <wp:effectExtent l="0" t="0" r="0" b="12700"/>
              <wp:wrapNone/>
              <wp:docPr id="1" name="MSIPCM77744333aec45b13be1098ca"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CF8268B" w14:textId="529865CB" w:rsidR="00BF26F5" w:rsidRPr="00BF26F5" w:rsidRDefault="00BF26F5" w:rsidP="00BF26F5">
                          <w:pPr>
                            <w:spacing w:after="0"/>
                            <w:rPr>
                              <w:rFonts w:ascii="Calibri" w:hAnsi="Calibri" w:cs="Calibri"/>
                              <w:color w:val="000000"/>
                            </w:rPr>
                          </w:pPr>
                          <w:r w:rsidRPr="00BF26F5">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6D5C85B" id="_x0000_t202" coordsize="21600,21600" o:spt="202" path="m,l,21600r21600,l21600,xe">
              <v:stroke joinstyle="miter"/>
              <v:path gradientshapeok="t" o:connecttype="rect"/>
            </v:shapetype>
            <v:shape id="MSIPCM77744333aec45b13be1098ca"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6CF8268B" w14:textId="529865CB" w:rsidR="00BF26F5" w:rsidRPr="00BF26F5" w:rsidRDefault="00BF26F5" w:rsidP="00BF26F5">
                    <w:pPr>
                      <w:spacing w:after="0"/>
                      <w:rPr>
                        <w:rFonts w:ascii="Calibri" w:hAnsi="Calibri" w:cs="Calibri"/>
                        <w:color w:val="000000"/>
                      </w:rPr>
                    </w:pPr>
                    <w:r w:rsidRPr="00BF26F5">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9226B"/>
    <w:multiLevelType w:val="hybridMultilevel"/>
    <w:tmpl w:val="3246088A"/>
    <w:lvl w:ilvl="0" w:tplc="3814AF1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692210E"/>
    <w:multiLevelType w:val="hybridMultilevel"/>
    <w:tmpl w:val="B60213D4"/>
    <w:lvl w:ilvl="0" w:tplc="16843820">
      <w:start w:val="1"/>
      <w:numFmt w:val="bullet"/>
      <w:lvlText w:val="•"/>
      <w:lvlJc w:val="left"/>
      <w:pPr>
        <w:tabs>
          <w:tab w:val="num" w:pos="720"/>
        </w:tabs>
        <w:ind w:left="720" w:hanging="360"/>
      </w:pPr>
      <w:rPr>
        <w:rFonts w:ascii="Arial" w:hAnsi="Arial" w:hint="default"/>
      </w:rPr>
    </w:lvl>
    <w:lvl w:ilvl="1" w:tplc="8A8226C0">
      <w:start w:val="1"/>
      <w:numFmt w:val="bullet"/>
      <w:lvlText w:val="•"/>
      <w:lvlJc w:val="left"/>
      <w:pPr>
        <w:tabs>
          <w:tab w:val="num" w:pos="1440"/>
        </w:tabs>
        <w:ind w:left="1440" w:hanging="360"/>
      </w:pPr>
      <w:rPr>
        <w:rFonts w:ascii="Arial" w:hAnsi="Arial" w:hint="default"/>
      </w:rPr>
    </w:lvl>
    <w:lvl w:ilvl="2" w:tplc="164CA836">
      <w:start w:val="1"/>
      <w:numFmt w:val="bullet"/>
      <w:lvlText w:val="•"/>
      <w:lvlJc w:val="left"/>
      <w:pPr>
        <w:tabs>
          <w:tab w:val="num" w:pos="2160"/>
        </w:tabs>
        <w:ind w:left="2160" w:hanging="360"/>
      </w:pPr>
      <w:rPr>
        <w:rFonts w:ascii="Arial" w:hAnsi="Arial" w:hint="default"/>
      </w:rPr>
    </w:lvl>
    <w:lvl w:ilvl="3" w:tplc="C8FA9F2C" w:tentative="1">
      <w:start w:val="1"/>
      <w:numFmt w:val="bullet"/>
      <w:lvlText w:val="•"/>
      <w:lvlJc w:val="left"/>
      <w:pPr>
        <w:tabs>
          <w:tab w:val="num" w:pos="2880"/>
        </w:tabs>
        <w:ind w:left="2880" w:hanging="360"/>
      </w:pPr>
      <w:rPr>
        <w:rFonts w:ascii="Arial" w:hAnsi="Arial" w:hint="default"/>
      </w:rPr>
    </w:lvl>
    <w:lvl w:ilvl="4" w:tplc="EDCC6126" w:tentative="1">
      <w:start w:val="1"/>
      <w:numFmt w:val="bullet"/>
      <w:lvlText w:val="•"/>
      <w:lvlJc w:val="left"/>
      <w:pPr>
        <w:tabs>
          <w:tab w:val="num" w:pos="3600"/>
        </w:tabs>
        <w:ind w:left="3600" w:hanging="360"/>
      </w:pPr>
      <w:rPr>
        <w:rFonts w:ascii="Arial" w:hAnsi="Arial" w:hint="default"/>
      </w:rPr>
    </w:lvl>
    <w:lvl w:ilvl="5" w:tplc="6F94F302" w:tentative="1">
      <w:start w:val="1"/>
      <w:numFmt w:val="bullet"/>
      <w:lvlText w:val="•"/>
      <w:lvlJc w:val="left"/>
      <w:pPr>
        <w:tabs>
          <w:tab w:val="num" w:pos="4320"/>
        </w:tabs>
        <w:ind w:left="4320" w:hanging="360"/>
      </w:pPr>
      <w:rPr>
        <w:rFonts w:ascii="Arial" w:hAnsi="Arial" w:hint="default"/>
      </w:rPr>
    </w:lvl>
    <w:lvl w:ilvl="6" w:tplc="38D0CF14" w:tentative="1">
      <w:start w:val="1"/>
      <w:numFmt w:val="bullet"/>
      <w:lvlText w:val="•"/>
      <w:lvlJc w:val="left"/>
      <w:pPr>
        <w:tabs>
          <w:tab w:val="num" w:pos="5040"/>
        </w:tabs>
        <w:ind w:left="5040" w:hanging="360"/>
      </w:pPr>
      <w:rPr>
        <w:rFonts w:ascii="Arial" w:hAnsi="Arial" w:hint="default"/>
      </w:rPr>
    </w:lvl>
    <w:lvl w:ilvl="7" w:tplc="E65273A2" w:tentative="1">
      <w:start w:val="1"/>
      <w:numFmt w:val="bullet"/>
      <w:lvlText w:val="•"/>
      <w:lvlJc w:val="left"/>
      <w:pPr>
        <w:tabs>
          <w:tab w:val="num" w:pos="5760"/>
        </w:tabs>
        <w:ind w:left="5760" w:hanging="360"/>
      </w:pPr>
      <w:rPr>
        <w:rFonts w:ascii="Arial" w:hAnsi="Arial" w:hint="default"/>
      </w:rPr>
    </w:lvl>
    <w:lvl w:ilvl="8" w:tplc="8D08CEA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C797D8A"/>
    <w:multiLevelType w:val="hybridMultilevel"/>
    <w:tmpl w:val="E5826E4C"/>
    <w:lvl w:ilvl="0" w:tplc="3814AF1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E75372"/>
    <w:multiLevelType w:val="hybridMultilevel"/>
    <w:tmpl w:val="10E4492E"/>
    <w:lvl w:ilvl="0" w:tplc="F49228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1DD14BB"/>
    <w:multiLevelType w:val="hybridMultilevel"/>
    <w:tmpl w:val="D91A5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CD5343"/>
    <w:multiLevelType w:val="hybridMultilevel"/>
    <w:tmpl w:val="471E9BF8"/>
    <w:lvl w:ilvl="0" w:tplc="3814AF1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1527309">
    <w:abstractNumId w:val="1"/>
  </w:num>
  <w:num w:numId="2" w16cid:durableId="1420444981">
    <w:abstractNumId w:val="3"/>
  </w:num>
  <w:num w:numId="3" w16cid:durableId="757822634">
    <w:abstractNumId w:val="0"/>
  </w:num>
  <w:num w:numId="4" w16cid:durableId="321585930">
    <w:abstractNumId w:val="4"/>
  </w:num>
  <w:num w:numId="5" w16cid:durableId="276254471">
    <w:abstractNumId w:val="2"/>
  </w:num>
  <w:num w:numId="6" w16cid:durableId="3634078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ED"/>
    <w:rsid w:val="000C7E6E"/>
    <w:rsid w:val="0015622F"/>
    <w:rsid w:val="001974F2"/>
    <w:rsid w:val="002F3099"/>
    <w:rsid w:val="00344160"/>
    <w:rsid w:val="00374764"/>
    <w:rsid w:val="005D3EBE"/>
    <w:rsid w:val="00651336"/>
    <w:rsid w:val="00692FED"/>
    <w:rsid w:val="008A29E3"/>
    <w:rsid w:val="008D5D07"/>
    <w:rsid w:val="00956B2E"/>
    <w:rsid w:val="00A64462"/>
    <w:rsid w:val="00AD46FC"/>
    <w:rsid w:val="00BF26F5"/>
    <w:rsid w:val="00CA2F38"/>
    <w:rsid w:val="00D062FB"/>
    <w:rsid w:val="00D5318C"/>
    <w:rsid w:val="00D66958"/>
    <w:rsid w:val="00D67794"/>
    <w:rsid w:val="00F507C5"/>
    <w:rsid w:val="00FB02E2"/>
    <w:rsid w:val="00FB2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C649E3"/>
  <w15:chartTrackingRefBased/>
  <w15:docId w15:val="{05568EBF-E20B-4696-B0FE-69DB8A73B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22F"/>
    <w:pPr>
      <w:ind w:left="720"/>
      <w:contextualSpacing/>
    </w:pPr>
  </w:style>
  <w:style w:type="paragraph" w:styleId="Header">
    <w:name w:val="header"/>
    <w:basedOn w:val="Normal"/>
    <w:link w:val="HeaderChar"/>
    <w:uiPriority w:val="99"/>
    <w:unhideWhenUsed/>
    <w:rsid w:val="00BF26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6F5"/>
  </w:style>
  <w:style w:type="paragraph" w:styleId="Footer">
    <w:name w:val="footer"/>
    <w:basedOn w:val="Normal"/>
    <w:link w:val="FooterChar"/>
    <w:uiPriority w:val="99"/>
    <w:unhideWhenUsed/>
    <w:rsid w:val="00BF26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6F5"/>
  </w:style>
  <w:style w:type="character" w:styleId="PlaceholderText">
    <w:name w:val="Placeholder Text"/>
    <w:basedOn w:val="DefaultParagraphFont"/>
    <w:uiPriority w:val="99"/>
    <w:semiHidden/>
    <w:rsid w:val="000C7E6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145996">
      <w:bodyDiv w:val="1"/>
      <w:marLeft w:val="0"/>
      <w:marRight w:val="0"/>
      <w:marTop w:val="0"/>
      <w:marBottom w:val="0"/>
      <w:divBdr>
        <w:top w:val="none" w:sz="0" w:space="0" w:color="auto"/>
        <w:left w:val="none" w:sz="0" w:space="0" w:color="auto"/>
        <w:bottom w:val="none" w:sz="0" w:space="0" w:color="auto"/>
        <w:right w:val="none" w:sz="0" w:space="0" w:color="auto"/>
      </w:divBdr>
      <w:divsChild>
        <w:div w:id="236132429">
          <w:marLeft w:val="1886"/>
          <w:marRight w:val="0"/>
          <w:marTop w:val="0"/>
          <w:marBottom w:val="0"/>
          <w:divBdr>
            <w:top w:val="none" w:sz="0" w:space="0" w:color="auto"/>
            <w:left w:val="none" w:sz="0" w:space="0" w:color="auto"/>
            <w:bottom w:val="none" w:sz="0" w:space="0" w:color="auto"/>
            <w:right w:val="none" w:sz="0" w:space="0" w:color="auto"/>
          </w:divBdr>
        </w:div>
        <w:div w:id="156309240">
          <w:marLeft w:val="1886"/>
          <w:marRight w:val="0"/>
          <w:marTop w:val="0"/>
          <w:marBottom w:val="0"/>
          <w:divBdr>
            <w:top w:val="none" w:sz="0" w:space="0" w:color="auto"/>
            <w:left w:val="none" w:sz="0" w:space="0" w:color="auto"/>
            <w:bottom w:val="none" w:sz="0" w:space="0" w:color="auto"/>
            <w:right w:val="none" w:sz="0" w:space="0" w:color="auto"/>
          </w:divBdr>
        </w:div>
        <w:div w:id="1802530919">
          <w:marLeft w:val="1886"/>
          <w:marRight w:val="0"/>
          <w:marTop w:val="0"/>
          <w:marBottom w:val="0"/>
          <w:divBdr>
            <w:top w:val="none" w:sz="0" w:space="0" w:color="auto"/>
            <w:left w:val="none" w:sz="0" w:space="0" w:color="auto"/>
            <w:bottom w:val="none" w:sz="0" w:space="0" w:color="auto"/>
            <w:right w:val="none" w:sz="0" w:space="0" w:color="auto"/>
          </w:divBdr>
        </w:div>
        <w:div w:id="1752122938">
          <w:marLeft w:val="188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941DCB32D26842A414D72FDBEE8DB4" ma:contentTypeVersion="3" ma:contentTypeDescription="Create a new document." ma:contentTypeScope="" ma:versionID="eaaf73c5a8d64460f9ca4a2a7a501c3c">
  <xsd:schema xmlns:xsd="http://www.w3.org/2001/XMLSchema" xmlns:xs="http://www.w3.org/2001/XMLSchema" xmlns:p="http://schemas.microsoft.com/office/2006/metadata/properties" xmlns:ns2="ed618b9d-08cb-448f-8e40-82fb51461ebb" targetNamespace="http://schemas.microsoft.com/office/2006/metadata/properties" ma:root="true" ma:fieldsID="6aeb7e475fbcf438625115cd92ee149d" ns2:_="">
    <xsd:import namespace="ed618b9d-08cb-448f-8e40-82fb51461ebb"/>
    <xsd:element name="properties">
      <xsd:complexType>
        <xsd:sequence>
          <xsd:element name="documentManagement">
            <xsd:complexType>
              <xsd:all>
                <xsd:element ref="ns2:MediaServiceMetadata" minOccurs="0"/>
                <xsd:element ref="ns2:MediaServiceFastMetadata" minOccurs="0"/>
                <xsd:element ref="ns2:Direct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618b9d-08cb-448f-8e40-82fb51461e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irectLink" ma:index="10" nillable="true" ma:displayName="Direct Link" ma:format="Hyperlink" ma:internalName="Direct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irectLink xmlns="ed618b9d-08cb-448f-8e40-82fb51461ebb">
      <Url xsi:nil="true"/>
      <Description xsi:nil="true"/>
    </DirectLink>
  </documentManagement>
</p:properties>
</file>

<file path=customXml/itemProps1.xml><?xml version="1.0" encoding="utf-8"?>
<ds:datastoreItem xmlns:ds="http://schemas.openxmlformats.org/officeDocument/2006/customXml" ds:itemID="{863EF7A5-2A6A-42CE-9DF5-0CF30C99231D}">
  <ds:schemaRefs>
    <ds:schemaRef ds:uri="http://schemas.microsoft.com/sharepoint/v3/contenttype/forms"/>
  </ds:schemaRefs>
</ds:datastoreItem>
</file>

<file path=customXml/itemProps2.xml><?xml version="1.0" encoding="utf-8"?>
<ds:datastoreItem xmlns:ds="http://schemas.openxmlformats.org/officeDocument/2006/customXml" ds:itemID="{31425F6D-4FE5-4461-A8E9-08D1F6E89C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618b9d-08cb-448f-8e40-82fb51461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8CEC9A-A1AE-4C99-82A8-8080852B5749}">
  <ds:schemaRefs>
    <ds:schemaRef ds:uri="http://schemas.microsoft.com/office/2006/metadata/properties"/>
    <ds:schemaRef ds:uri="http://schemas.microsoft.com/office/infopath/2007/PartnerControls"/>
    <ds:schemaRef ds:uri="ed618b9d-08cb-448f-8e40-82fb51461eb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Murray</dc:creator>
  <cp:keywords/>
  <dc:description/>
  <cp:lastModifiedBy>Kyra Sadovi</cp:lastModifiedBy>
  <cp:revision>2</cp:revision>
  <dcterms:created xsi:type="dcterms:W3CDTF">2023-05-10T13:54:00Z</dcterms:created>
  <dcterms:modified xsi:type="dcterms:W3CDTF">2023-05-10T13:54:00Z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0470b079-9245-4b54-8f3b-537d5c13f1f8</vt:lpwstr>
  </property>
  <property fmtid="{D5CDD505-2E9C-101B-9397-08002B2CF9AE}" pid="3" name="_dlc_DocIdItemGuid">
    <vt:lpwstr>77fe474d-89ae-4ec1-9b93-0eb735fafcba</vt:lpwstr>
  </property>
  <property fmtid="{D5CDD505-2E9C-101B-9397-08002B2CF9AE}" pid="4" name="ContentTypeId">
    <vt:lpwstr>0x01010040941DCB32D26842A414D72FDBEE8DB4</vt:lpwstr>
  </property>
  <property fmtid="{D5CDD505-2E9C-101B-9397-08002B2CF9AE}" pid="5" name="_docset_NoMedatataSyncRequired">
    <vt:lpwstr>False</vt:lpwstr>
  </property>
  <property fmtid="{D5CDD505-2E9C-101B-9397-08002B2CF9AE}" pid="6" name="MSIP_Label_020c9e8b-b879-4ade-97ac-60b9c2bff5e3_Enabled">
    <vt:lpwstr>true</vt:lpwstr>
  </property>
  <property fmtid="{D5CDD505-2E9C-101B-9397-08002B2CF9AE}" pid="7" name="MSIP_Label_020c9e8b-b879-4ade-97ac-60b9c2bff5e3_SetDate">
    <vt:lpwstr>2023-05-10T13:54:20Z</vt:lpwstr>
  </property>
  <property fmtid="{D5CDD505-2E9C-101B-9397-08002B2CF9AE}" pid="8" name="MSIP_Label_020c9e8b-b879-4ade-97ac-60b9c2bff5e3_Method">
    <vt:lpwstr>Privileged</vt:lpwstr>
  </property>
  <property fmtid="{D5CDD505-2E9C-101B-9397-08002B2CF9AE}" pid="9" name="MSIP_Label_020c9e8b-b879-4ade-97ac-60b9c2bff5e3_Name">
    <vt:lpwstr>PERSONAL-NONWORK - EXTERNAL</vt:lpwstr>
  </property>
  <property fmtid="{D5CDD505-2E9C-101B-9397-08002B2CF9AE}" pid="10" name="MSIP_Label_020c9e8b-b879-4ade-97ac-60b9c2bff5e3_SiteId">
    <vt:lpwstr>87bb2570-5c1e-4973-9c37-09257a95aeb1</vt:lpwstr>
  </property>
  <property fmtid="{D5CDD505-2E9C-101B-9397-08002B2CF9AE}" pid="11" name="MSIP_Label_020c9e8b-b879-4ade-97ac-60b9c2bff5e3_ActionId">
    <vt:lpwstr>57467b79-12e3-4c7b-99d7-1d18e519ef52</vt:lpwstr>
  </property>
  <property fmtid="{D5CDD505-2E9C-101B-9397-08002B2CF9AE}" pid="12" name="MSIP_Label_020c9e8b-b879-4ade-97ac-60b9c2bff5e3_ContentBits">
    <vt:lpwstr>1</vt:lpwstr>
  </property>
</Properties>
</file>