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BFC00" w14:textId="7FD1EE66" w:rsidR="00323B13" w:rsidRPr="00A86AFB" w:rsidRDefault="00163766" w:rsidP="00A86AFB">
      <w:pPr>
        <w:pStyle w:val="Title"/>
      </w:pPr>
      <w:r w:rsidRPr="00A86AFB">
        <w:t>HMDA Project Lit Review</w:t>
      </w:r>
    </w:p>
    <w:p w14:paraId="33B3B9DD" w14:textId="4E4B5D10" w:rsidR="00A86AFB" w:rsidRDefault="00A86AFB" w:rsidP="00A86AFB">
      <w:pPr>
        <w:pStyle w:val="Subtitle"/>
      </w:pPr>
      <w:r>
        <w:t xml:space="preserve">In this document, I am compiling as many papers as I can which relate to my research idea, below: </w:t>
      </w:r>
    </w:p>
    <w:p w14:paraId="4EDEC428" w14:textId="3C3E1012" w:rsidR="00A86AFB" w:rsidRDefault="00A86AFB" w:rsidP="00A86AFB">
      <w:pPr>
        <w:pStyle w:val="Quote"/>
      </w:pPr>
      <w:r>
        <w:t xml:space="preserve">How does a mortgage applicant’s neighborhood racial composition affect their likelihood of approval? </w:t>
      </w:r>
    </w:p>
    <w:p w14:paraId="33FB538A" w14:textId="093E9D29" w:rsidR="00A86AFB" w:rsidRDefault="00A86AFB" w:rsidP="00A86AFB">
      <w:pPr>
        <w:pStyle w:val="Subtitle"/>
      </w:pPr>
      <w:r>
        <w:t xml:space="preserve">In reviewing the literature, I have three main goals: </w:t>
      </w:r>
    </w:p>
    <w:p w14:paraId="421FE784" w14:textId="08F6DFD1" w:rsidR="00A86AFB" w:rsidRDefault="00A86AFB" w:rsidP="00A86AFB">
      <w:pPr>
        <w:pStyle w:val="ListParagraph"/>
        <w:numPr>
          <w:ilvl w:val="0"/>
          <w:numId w:val="1"/>
        </w:numPr>
      </w:pPr>
      <w:r>
        <w:t>Build understanding about what literature already exists surrounding this question</w:t>
      </w:r>
      <w:r w:rsidR="00BB23AB">
        <w:t xml:space="preserve"> to make sure what I’m doing will further existing knowledge </w:t>
      </w:r>
    </w:p>
    <w:p w14:paraId="0DA77515" w14:textId="50F43F74" w:rsidR="00A86AFB" w:rsidRDefault="00BB23AB" w:rsidP="00A86AFB">
      <w:pPr>
        <w:pStyle w:val="ListParagraph"/>
        <w:numPr>
          <w:ilvl w:val="0"/>
          <w:numId w:val="1"/>
        </w:numPr>
      </w:pPr>
      <w:r>
        <w:t>Learn about how other researchers measure similar questions (especially identification strategies and econometric approaches</w:t>
      </w:r>
    </w:p>
    <w:p w14:paraId="4533353C" w14:textId="3B29317E" w:rsidR="00BB23AB" w:rsidRDefault="00BB23AB" w:rsidP="00A86AFB">
      <w:pPr>
        <w:pStyle w:val="ListParagraph"/>
        <w:numPr>
          <w:ilvl w:val="0"/>
          <w:numId w:val="1"/>
        </w:numPr>
      </w:pPr>
      <w:r>
        <w:t xml:space="preserve">Learn more about </w:t>
      </w:r>
      <w:r w:rsidR="001E1826">
        <w:t xml:space="preserve">the mortgage approval process – this will help inform how I should frame my question. </w:t>
      </w:r>
    </w:p>
    <w:p w14:paraId="365C94C0" w14:textId="702D7C21" w:rsidR="008777CD" w:rsidRDefault="008777CD" w:rsidP="00A86AFB">
      <w:pPr>
        <w:pStyle w:val="ListParagraph"/>
        <w:numPr>
          <w:ilvl w:val="0"/>
          <w:numId w:val="1"/>
        </w:numPr>
      </w:pPr>
      <w:r>
        <w:t xml:space="preserve">Refine my question – right now, it’s a question </w:t>
      </w:r>
      <w:r w:rsidR="00A678C6">
        <w:t xml:space="preserve">of </w:t>
      </w:r>
      <w:r w:rsidR="00A678C6">
        <w:rPr>
          <w:i/>
          <w:iCs/>
        </w:rPr>
        <w:t>how</w:t>
      </w:r>
      <w:r w:rsidR="00A678C6">
        <w:t xml:space="preserve"> neighborhood effects manifest in the mortgage decision process. But really, I should be thinking about </w:t>
      </w:r>
      <w:r w:rsidR="00A678C6">
        <w:rPr>
          <w:i/>
          <w:iCs/>
        </w:rPr>
        <w:t xml:space="preserve">why </w:t>
      </w:r>
      <w:r w:rsidR="00A678C6">
        <w:t xml:space="preserve">there is an effect. Is this a result of taste-based discrimination? Is this a result of racist AUS used by lenders? What is the story, and what is the appropriate policy response? </w:t>
      </w:r>
    </w:p>
    <w:p w14:paraId="5EB4AD21" w14:textId="2DFE5628" w:rsidR="00A44564" w:rsidRDefault="001E1826" w:rsidP="001E1826">
      <w:pPr>
        <w:pStyle w:val="Subtitle"/>
      </w:pPr>
      <w:r>
        <w:t xml:space="preserve">I am going to try to read 3-4 papers per week. I will link them with a Zotero collection which will complete the bibliography on the last page(s) of this document. Above the bibliography I will include descriptions of each paper which include the title, coauthors, publication, </w:t>
      </w:r>
      <w:r w:rsidR="00A44564">
        <w:t>date, abstract, and a blurb about why this paper relates to one of the above three goals.</w:t>
      </w:r>
    </w:p>
    <w:p w14:paraId="3AABC226" w14:textId="733DA051" w:rsidR="00D14163" w:rsidRDefault="00D14163" w:rsidP="00FF48B8">
      <w:pPr>
        <w:pBdr>
          <w:bottom w:val="double" w:sz="6" w:space="1" w:color="auto"/>
        </w:pBdr>
      </w:pPr>
    </w:p>
    <w:p w14:paraId="377B32F6" w14:textId="77777777" w:rsidR="009C38F3" w:rsidRDefault="009C38F3" w:rsidP="006349CB">
      <w:pPr>
        <w:pStyle w:val="Heading2"/>
      </w:pPr>
    </w:p>
    <w:p w14:paraId="18BD3449" w14:textId="6D6EB937" w:rsidR="006349CB" w:rsidRDefault="00FF48B8" w:rsidP="006349CB">
      <w:pPr>
        <w:pStyle w:val="Heading2"/>
      </w:pPr>
      <w:r w:rsidRPr="006349CB">
        <w:t>The Impact of Minority Representation at Mortgage Lenders</w:t>
      </w:r>
      <w:r w:rsidR="006349CB">
        <w:t xml:space="preserve"> </w:t>
      </w:r>
      <w:r w:rsidR="006349CB">
        <w:fldChar w:fldCharType="begin"/>
      </w:r>
      <w:r w:rsidR="00454FBD">
        <w:instrText xml:space="preserve"> ADDIN ZOTERO_ITEM CSL_CITATION {"citationID":"vic3nAO3","properties":{"formattedCitation":"(Frame et al., 2022)","plainCitation":"(Frame et al., 2022)","noteIndex":0},"citationItems":[{"id":1,"uris":["http://zotero.org/users/5827903/items/XD82RHHX"],"itemData":{"id":1,"type":"report","event-place":"Cambridge, MA","language":"en","note":"DOI: 10.3386/w30125","number":"w30125","page":"w30125","publisher":"National Bureau of Economic Research","publisher-place":"Cambridge, MA","source":"DOI.org (Crossref)","title":"The Impact of Minority Representation at Mortgage Lenders","URL":"http://www.nber.org/papers/w30125.pdf","author":[{"family":"Frame","given":"W. Scott"},{"family":"Huang","given":"Ruidi"},{"family":"Mayer","given":"Erik"},{"family":"Sunderam","given":"Adi"}],"accessed":{"date-parts":[["2022",7,30]]},"issued":{"date-parts":[["2022",6]]}}}],"schema":"https://github.com/citation-style-language/schema/raw/master/csl-citation.json"} </w:instrText>
      </w:r>
      <w:r w:rsidR="006349CB">
        <w:fldChar w:fldCharType="separate"/>
      </w:r>
      <w:r w:rsidR="006349CB">
        <w:rPr>
          <w:noProof/>
        </w:rPr>
        <w:t>(Frame et al., 2022)</w:t>
      </w:r>
      <w:r w:rsidR="006349CB">
        <w:fldChar w:fldCharType="end"/>
      </w:r>
    </w:p>
    <w:p w14:paraId="2B48C68C" w14:textId="77777777" w:rsidR="006349CB" w:rsidRPr="006349CB" w:rsidRDefault="006349CB" w:rsidP="006349CB">
      <w:pPr>
        <w:pStyle w:val="Subtitle"/>
      </w:pPr>
      <w:r w:rsidRPr="006349CB">
        <w:rPr>
          <w:b/>
          <w:bCs/>
          <w:color w:val="auto"/>
        </w:rPr>
        <w:t>Abstract</w:t>
      </w:r>
      <w:r w:rsidRPr="006349CB">
        <w:rPr>
          <w:color w:val="auto"/>
        </w:rPr>
        <w:t xml:space="preserve"> </w:t>
      </w:r>
      <w:r w:rsidRPr="006349CB">
        <w:t>We study links between the labor market for loan officers and access to mortgage credit. Using novel data matching the (near) universe of mortgage applications to loan officers, we find that minorities are significantly underrepresented among loan officers. Minority borrowers are less likely to complete mortgage applications, have completed applications approved, and to ultimately take-up a loan. These disparities are significantly reduced when minority borrowers work with minority loan officers. Minority borrowers working with minority loan officers also have lower default rates. Our results suggest that minority underrepresentation among loan officers has adverse effects on minority borrowers’ access to credit.</w:t>
      </w:r>
    </w:p>
    <w:p w14:paraId="1A82B36F" w14:textId="0138F276" w:rsidR="0081275E" w:rsidRDefault="006349CB" w:rsidP="006349CB">
      <w:pPr>
        <w:pStyle w:val="Subtitle"/>
      </w:pPr>
      <w:r w:rsidRPr="006349CB">
        <w:rPr>
          <w:b/>
          <w:bCs/>
          <w:color w:val="auto"/>
        </w:rPr>
        <w:t>Note</w:t>
      </w:r>
      <w:r w:rsidR="00F47AA6">
        <w:rPr>
          <w:b/>
          <w:bCs/>
          <w:color w:val="auto"/>
        </w:rPr>
        <w:t xml:space="preserve">s </w:t>
      </w:r>
      <w:r w:rsidR="00F47AA6" w:rsidRPr="00F47AA6">
        <w:t>The principal conclusion from this paper should be that it is evidence that the mortgage approval decision is not solely determined by a formula used by a lender’s AUS. Frame et al. demonstrate that this disparity in the result of white- and minority-approved mortgages originates from the loan officers themselves, and tha</w:t>
      </w:r>
      <w:r w:rsidR="001E1E7A">
        <w:t xml:space="preserve">t taste-based discrimination cannot explain the dynamic that exists here </w:t>
      </w:r>
      <w:r w:rsidR="00C7575A">
        <w:fldChar w:fldCharType="begin"/>
      </w:r>
      <w:r w:rsidR="00454FBD">
        <w:instrText xml:space="preserve"> ADDIN ZOTERO_ITEM CSL_CITATION {"citationID":"AinhHZ6n","properties":{"formattedCitation":"(Frame et al., 2022, p. 24)","plainCitation":"(Frame et al., 2022, p. 24)","noteIndex":0},"citationItems":[{"id":1,"uris":["http://zotero.org/users/5827903/items/XD82RHHX"],"itemData":{"id":1,"type":"report","event-place":"Cambridge, MA","language":"en","note":"DOI: 10.3386/w30125","number":"w30125","page":"w30125","publisher":"National Bureau of Economic Research","publisher-place":"Cambridge, MA","source":"DOI.org (Crossref)","title":"The Impact of Minority Representation at Mortgage Lenders","URL":"http://www.nber.org/papers/w30125.pdf","author":[{"family":"Frame","given":"W. Scott"},{"family":"Huang","given":"Ruidi"},{"family":"Mayer","given":"Erik"},{"family":"Sunderam","given":"Adi"}],"accessed":{"date-parts":[["2022",7,30]]},"issued":{"date-parts":[["2022",6]]}},"locator":"24","label":"page"}],"schema":"https://github.com/citation-style-language/schema/raw/master/csl-citation.json"} </w:instrText>
      </w:r>
      <w:r w:rsidR="00C7575A">
        <w:fldChar w:fldCharType="separate"/>
      </w:r>
      <w:r w:rsidR="00C7575A">
        <w:rPr>
          <w:noProof/>
        </w:rPr>
        <w:t>(Frame et al., 2022, p. 24)</w:t>
      </w:r>
      <w:r w:rsidR="00C7575A">
        <w:fldChar w:fldCharType="end"/>
      </w:r>
      <w:r w:rsidR="008F136F">
        <w:t xml:space="preserve">. Frame and coauthors argue that the disparity in approval rates comes from minority loan </w:t>
      </w:r>
      <w:r w:rsidR="008F136F">
        <w:lastRenderedPageBreak/>
        <w:t xml:space="preserve">officers’ ability to glean </w:t>
      </w:r>
      <w:r w:rsidR="008F136F" w:rsidRPr="008F136F">
        <w:rPr>
          <w:u w:val="single"/>
        </w:rPr>
        <w:t>soft information</w:t>
      </w:r>
      <w:r w:rsidR="008F136F">
        <w:t xml:space="preserve"> about each application</w:t>
      </w:r>
      <w:r w:rsidR="0081275E">
        <w:t xml:space="preserve">, a useful concept to keep in mind going forward. </w:t>
      </w:r>
    </w:p>
    <w:p w14:paraId="1600BA68" w14:textId="503DDBB6" w:rsidR="0088570F" w:rsidRDefault="0081275E" w:rsidP="006349CB">
      <w:pPr>
        <w:pStyle w:val="Subtitle"/>
      </w:pPr>
      <w:r>
        <w:t>Causal inference strategy used here</w:t>
      </w:r>
      <w:r w:rsidR="008B01B7">
        <w:t xml:space="preserve"> are a number of I.V.s for days of the week to capture loan officer work schedules, as well as an I.V. for minority officers. </w:t>
      </w:r>
    </w:p>
    <w:p w14:paraId="1D73C455" w14:textId="40BA606D" w:rsidR="004850D9" w:rsidRPr="004850D9" w:rsidRDefault="004850D9" w:rsidP="0048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heme="majorEastAsia" w:hAnsiTheme="majorHAnsi" w:cstheme="majorBidi"/>
          <w:color w:val="2F5496" w:themeColor="accent1" w:themeShade="BF"/>
          <w:sz w:val="26"/>
          <w:szCs w:val="26"/>
        </w:rPr>
      </w:pPr>
      <w:r w:rsidRPr="004850D9">
        <w:rPr>
          <w:rFonts w:asciiTheme="majorHAnsi" w:eastAsiaTheme="majorEastAsia" w:hAnsiTheme="majorHAnsi" w:cstheme="majorBidi"/>
          <w:color w:val="2F5496" w:themeColor="accent1" w:themeShade="BF"/>
          <w:sz w:val="26"/>
          <w:szCs w:val="26"/>
        </w:rPr>
        <w:t>Does Greater Inequality Lead to More Household Borrowing? New Evidence from</w:t>
      </w:r>
      <w:r>
        <w:rPr>
          <w:rFonts w:asciiTheme="majorHAnsi" w:eastAsiaTheme="majorEastAsia" w:hAnsiTheme="majorHAnsi" w:cstheme="majorBidi"/>
          <w:color w:val="2F5496" w:themeColor="accent1" w:themeShade="BF"/>
          <w:sz w:val="26"/>
          <w:szCs w:val="26"/>
        </w:rPr>
        <w:t xml:space="preserve"> </w:t>
      </w:r>
      <w:r w:rsidRPr="004850D9">
        <w:rPr>
          <w:rFonts w:asciiTheme="majorHAnsi" w:eastAsiaTheme="majorEastAsia" w:hAnsiTheme="majorHAnsi" w:cstheme="majorBidi"/>
          <w:color w:val="2F5496" w:themeColor="accent1" w:themeShade="BF"/>
          <w:sz w:val="26"/>
          <w:szCs w:val="26"/>
        </w:rPr>
        <w:t>Household Data</w:t>
      </w:r>
      <w:r>
        <w:rPr>
          <w:rFonts w:asciiTheme="majorHAnsi" w:eastAsiaTheme="majorEastAsia" w:hAnsiTheme="majorHAnsi" w:cstheme="majorBidi"/>
          <w:color w:val="2F5496" w:themeColor="accent1" w:themeShade="BF"/>
          <w:sz w:val="26"/>
          <w:szCs w:val="26"/>
        </w:rPr>
        <w:t xml:space="preserve"> </w:t>
      </w:r>
      <w:r>
        <w:rPr>
          <w:rFonts w:asciiTheme="majorHAnsi" w:eastAsiaTheme="majorEastAsia" w:hAnsiTheme="majorHAnsi" w:cstheme="majorBidi"/>
          <w:color w:val="2F5496" w:themeColor="accent1" w:themeShade="BF"/>
          <w:sz w:val="26"/>
          <w:szCs w:val="26"/>
        </w:rPr>
        <w:fldChar w:fldCharType="begin"/>
      </w:r>
      <w:r w:rsidR="00454FBD">
        <w:rPr>
          <w:rFonts w:asciiTheme="majorHAnsi" w:eastAsiaTheme="majorEastAsia" w:hAnsiTheme="majorHAnsi" w:cstheme="majorBidi"/>
          <w:color w:val="2F5496" w:themeColor="accent1" w:themeShade="BF"/>
          <w:sz w:val="26"/>
          <w:szCs w:val="26"/>
        </w:rPr>
        <w:instrText xml:space="preserve"> ADDIN ZOTERO_ITEM CSL_CITATION {"citationID":"39cjZTY2","properties":{"formattedCitation":"(Coibion et al., 2014)","plainCitation":"(Coibion et al., 2014)","noteIndex":0},"citationItems":[{"id":2,"uris":["http://zotero.org/users/5827903/items/NYCXHKE9"],"itemData":{"id":2,"type":"report","event-place":"Cambridge, MA","language":"en","note":"DOI: 10.3386/w19850","number":"w19850","page":"w19850","publisher":"National Bureau of Economic Research","publisher-place":"Cambridge, MA","source":"DOI.org (Crossref)","title":"Does Greater Inequality Lead to More Household Borrowing? New Evidence from Household Data","title-short":"Does Greater Inequality Lead to More Household Borrowing?","URL":"http://www.nber.org/papers/w19850.pdf","author":[{"family":"Coibion","given":"Olivier"},{"family":"Gorodnichenko","given":"Yuriy"},{"family":"Kudlyak","given":"Marianna"},{"family":"Mondragon","given":"John"}],"accessed":{"date-parts":[["2022",8,10]]},"issued":{"date-parts":[["2014",1]]}}}],"schema":"https://github.com/citation-style-language/schema/raw/master/csl-citation.json"}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(Coibion et al., 2014)</w:t>
      </w:r>
      <w:r>
        <w:rPr>
          <w:rFonts w:asciiTheme="majorHAnsi" w:eastAsiaTheme="majorEastAsia" w:hAnsiTheme="majorHAnsi" w:cstheme="majorBidi"/>
          <w:color w:val="2F5496" w:themeColor="accent1" w:themeShade="BF"/>
          <w:sz w:val="26"/>
          <w:szCs w:val="26"/>
        </w:rPr>
        <w:fldChar w:fldCharType="end"/>
      </w:r>
    </w:p>
    <w:p w14:paraId="3D57DA21" w14:textId="77777777" w:rsidR="004850D9" w:rsidRPr="004850D9" w:rsidRDefault="004850D9" w:rsidP="004850D9">
      <w:pPr>
        <w:pStyle w:val="Subtitle"/>
      </w:pPr>
      <w:r w:rsidRPr="004850D9">
        <w:rPr>
          <w:b/>
          <w:bCs/>
          <w:color w:val="auto"/>
        </w:rPr>
        <w:t>Abstract</w:t>
      </w:r>
      <w:r>
        <w:t xml:space="preserve"> </w:t>
      </w:r>
      <w:r w:rsidRPr="004850D9">
        <w:t>One suggested hypothesis for the dramatic rise in household borrowing that preceded the financial crisis is that low-income households increased their demand for credit to finance higher consumption expenditures in order to "keep up" with higher-income households. Using household level data on debt accumulation during 2001-2012, we show that low-income households in high-inequality regions accumulated less debt relative to income than their counterparts in lower-inequality regions, which negates the hypothesis. We argue instead that these patterns are consistent with supply-side interpretations of debt accumulation patterns during the 2000s. We present a model in which banks use applicants' incomes, combined with local income inequality, to infer the underlying type of the applicant, so that banks ultimately channel more credit toward lower-income applicants in low-inequality regions than high-inequality regions. We confirm the predictions of the model using data on individual mortgage applications in high- and low-inequality regions over this time period.</w:t>
      </w:r>
    </w:p>
    <w:p w14:paraId="554167BE" w14:textId="1B32800C" w:rsidR="00454FBD" w:rsidRDefault="004850D9" w:rsidP="00A81845">
      <w:pPr>
        <w:pStyle w:val="Subtitle"/>
      </w:pPr>
      <w:r w:rsidRPr="004850D9">
        <w:rPr>
          <w:b/>
          <w:bCs/>
          <w:color w:val="auto"/>
        </w:rPr>
        <w:t>Notes</w:t>
      </w:r>
      <w:r>
        <w:rPr>
          <w:b/>
          <w:bCs/>
        </w:rPr>
        <w:t xml:space="preserve"> </w:t>
      </w:r>
      <w:r w:rsidR="00466D05">
        <w:t>T</w:t>
      </w:r>
      <w:r w:rsidR="00A37750">
        <w:t xml:space="preserve">his paper has much more to do with </w:t>
      </w:r>
      <w:r w:rsidR="00A81845">
        <w:t xml:space="preserve">larger forces of economic inequality and </w:t>
      </w:r>
      <w:r w:rsidR="004A25BB">
        <w:t>behavioral dynamics</w:t>
      </w:r>
      <w:r w:rsidR="00A37750">
        <w:t xml:space="preserve"> than is necessarily relevant for me</w:t>
      </w:r>
      <w:r w:rsidR="00466D05">
        <w:t xml:space="preserve">. For example, they use this local measure of inequality in order to assess how households might respond to local </w:t>
      </w:r>
      <w:r w:rsidR="00504C65">
        <w:t>economies (the “keeping up with the Joneses” effect, they call it). However,</w:t>
      </w:r>
      <w:r w:rsidR="00A37750">
        <w:t xml:space="preserve"> the useful part of this paper is that the authors build a model where banks use applicant income and </w:t>
      </w:r>
      <w:r w:rsidR="00A37750">
        <w:rPr>
          <w:u w:val="single"/>
        </w:rPr>
        <w:t>neighborhood income inequality</w:t>
      </w:r>
      <w:r w:rsidR="00A37750">
        <w:t xml:space="preserve"> to make inferences about the type of applicant. Very useful for trying to assess how a bank might use neighborhood-level characteristics in </w:t>
      </w:r>
      <w:r w:rsidR="00D037E0">
        <w:t xml:space="preserve">making an assessment about an applicant. </w:t>
      </w:r>
      <w:r w:rsidR="00494EBD">
        <w:t>For example, in their model they posit</w:t>
      </w:r>
      <w:r w:rsidR="00A81845">
        <w:t xml:space="preserve"> that “…b</w:t>
      </w:r>
      <w:r w:rsidR="00A81845" w:rsidRPr="00A81845">
        <w:t>anks will make credit more readily accessible (or cheaper) to high-income</w:t>
      </w:r>
      <w:r w:rsidR="00A81845">
        <w:t xml:space="preserve"> </w:t>
      </w:r>
      <w:r w:rsidR="00A81845" w:rsidRPr="00A81845">
        <w:t>households when local inequality is higher because the latter implies that</w:t>
      </w:r>
      <w:r w:rsidR="00A81845">
        <w:t xml:space="preserve"> </w:t>
      </w:r>
      <w:r w:rsidR="00A81845" w:rsidRPr="00A81845">
        <w:t>income is a more precise signal of applicant types</w:t>
      </w:r>
      <w:r w:rsidR="00A81845">
        <w:t xml:space="preserve">,” </w:t>
      </w:r>
      <w:r w:rsidR="00A81845">
        <w:fldChar w:fldCharType="begin"/>
      </w:r>
      <w:r w:rsidR="00454FBD">
        <w:instrText xml:space="preserve"> ADDIN ZOTERO_ITEM CSL_CITATION {"citationID":"6RL6wV7j","properties":{"formattedCitation":"(Coibion et al., 2014, p. 5)","plainCitation":"(Coibion et al., 2014, p. 5)","noteIndex":0},"citationItems":[{"id":2,"uris":["http://zotero.org/users/5827903/items/NYCXHKE9"],"itemData":{"id":2,"type":"report","event-place":"Cambridge, MA","language":"en","note":"DOI: 10.3386/w19850","number":"w19850","page":"w19850","publisher":"National Bureau of Economic Research","publisher-place":"Cambridge, MA","source":"DOI.org (Crossref)","title":"Does Greater Inequality Lead to More Household Borrowing? New Evidence from Household Data","title-short":"Does Greater Inequality Lead to More Household Borrowing?","URL":"http://www.nber.org/papers/w19850.pdf","author":[{"family":"Coibion","given":"Olivier"},{"family":"Gorodnichenko","given":"Yuriy"},{"family":"Kudlyak","given":"Marianna"},{"family":"Mondragon","given":"John"}],"accessed":{"date-parts":[["2022",8,10]]},"issued":{"date-parts":[["2014",1]]}},"locator":"5","label":"page"}],"schema":"https://github.com/citation-style-language/schema/raw/master/csl-citation.json"} </w:instrText>
      </w:r>
      <w:r w:rsidR="00A81845">
        <w:fldChar w:fldCharType="separate"/>
      </w:r>
      <w:r w:rsidR="00A81845">
        <w:t>(</w:t>
      </w:r>
      <w:proofErr w:type="spellStart"/>
      <w:r w:rsidR="00A81845">
        <w:t>Coibion</w:t>
      </w:r>
      <w:proofErr w:type="spellEnd"/>
      <w:r w:rsidR="00A81845">
        <w:t xml:space="preserve"> et al., 2014, p. 5)</w:t>
      </w:r>
      <w:r w:rsidR="00A81845">
        <w:fldChar w:fldCharType="end"/>
      </w:r>
      <w:r w:rsidR="00A81845">
        <w:t xml:space="preserve">. They confirm their theoretical predictions using HMDA data. </w:t>
      </w:r>
      <w:r w:rsidR="0049377A">
        <w:t xml:space="preserve">One very interesting note: they control for </w:t>
      </w:r>
      <w:r w:rsidR="007278B8">
        <w:t>median local household income and still find that this inequality dynamic persists (</w:t>
      </w:r>
      <w:proofErr w:type="gramStart"/>
      <w:r w:rsidR="007278B8">
        <w:t>i.e.</w:t>
      </w:r>
      <w:proofErr w:type="gramEnd"/>
      <w:r w:rsidR="007278B8">
        <w:t xml:space="preserve"> that lenders seem to respond to where one falls in the local income distribution more than simply nominal income). </w:t>
      </w:r>
    </w:p>
    <w:p w14:paraId="457BDDC2" w14:textId="77777777" w:rsidR="00454FBD" w:rsidRDefault="00454FBD" w:rsidP="0045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heme="majorEastAsia" w:hAnsiTheme="majorHAnsi" w:cstheme="majorBidi"/>
          <w:color w:val="2F5496" w:themeColor="accent1" w:themeShade="BF"/>
          <w:sz w:val="26"/>
          <w:szCs w:val="26"/>
        </w:rPr>
      </w:pPr>
      <w:r w:rsidRPr="00454FBD">
        <w:rPr>
          <w:rFonts w:asciiTheme="majorHAnsi" w:eastAsiaTheme="majorEastAsia" w:hAnsiTheme="majorHAnsi" w:cstheme="majorBidi"/>
          <w:color w:val="2F5496" w:themeColor="accent1" w:themeShade="BF"/>
          <w:sz w:val="26"/>
          <w:szCs w:val="26"/>
        </w:rPr>
        <w:t>What Drives Racial and Ethnic Differences in</w:t>
      </w:r>
      <w:r w:rsidRPr="00454FBD">
        <w:rPr>
          <w:rFonts w:asciiTheme="majorHAnsi" w:eastAsiaTheme="majorEastAsia" w:hAnsiTheme="majorHAnsi" w:cstheme="majorBidi"/>
          <w:color w:val="2F5496" w:themeColor="accent1" w:themeShade="BF"/>
          <w:sz w:val="26"/>
          <w:szCs w:val="26"/>
        </w:rPr>
        <w:t xml:space="preserve"> </w:t>
      </w:r>
      <w:r w:rsidRPr="00454FBD">
        <w:rPr>
          <w:rFonts w:asciiTheme="majorHAnsi" w:eastAsiaTheme="majorEastAsia" w:hAnsiTheme="majorHAnsi" w:cstheme="majorBidi"/>
          <w:color w:val="2F5496" w:themeColor="accent1" w:themeShade="BF"/>
          <w:sz w:val="26"/>
          <w:szCs w:val="26"/>
        </w:rPr>
        <w:t>High-Cost Mortgages? The Role of High-Risk</w:t>
      </w:r>
      <w:r>
        <w:rPr>
          <w:rFonts w:asciiTheme="majorHAnsi" w:eastAsiaTheme="majorEastAsia" w:hAnsiTheme="majorHAnsi" w:cstheme="majorBidi"/>
          <w:color w:val="2F5496" w:themeColor="accent1" w:themeShade="BF"/>
          <w:sz w:val="26"/>
          <w:szCs w:val="26"/>
        </w:rPr>
        <w:t xml:space="preserve"> </w:t>
      </w:r>
      <w:r w:rsidRPr="00454FBD">
        <w:rPr>
          <w:rFonts w:asciiTheme="majorHAnsi" w:eastAsiaTheme="majorEastAsia" w:hAnsiTheme="majorHAnsi" w:cstheme="majorBidi"/>
          <w:color w:val="2F5496" w:themeColor="accent1" w:themeShade="BF"/>
          <w:sz w:val="26"/>
          <w:szCs w:val="26"/>
        </w:rPr>
        <w:t>Lenders</w:t>
      </w:r>
      <w:r>
        <w:rPr>
          <w:rFonts w:asciiTheme="majorHAnsi" w:eastAsiaTheme="majorEastAsia" w:hAnsiTheme="majorHAnsi" w:cstheme="majorBidi"/>
          <w:color w:val="2F5496" w:themeColor="accent1" w:themeShade="BF"/>
          <w:sz w:val="26"/>
          <w:szCs w:val="26"/>
        </w:rPr>
        <w:t xml:space="preserve"> </w:t>
      </w: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ADDIN ZOTERO_ITEM CSL_CITATION {"citationID":"7p17jdTm","properties":{"formattedCitation":"(Bayer et al., 2016)","plainCitation":"(Bayer et al., 2016)","noteIndex":0},"citationItems":[{"id":7,"uris":["http://zotero.org/users/5827903/items/9LBUMW53"],"itemData":{"id":7,"type":"report","event-place":"Cambridge, MA","language":"en","note":"DOI: 10.3386/w22004","number":"w22004","page":"w22004","publisher":"National Bureau of Economic Research","publisher-place":"Cambridge, MA","source":"DOI.org (Crossref)","title":"What Drives Racial and Ethnic Differences in High Cost Mortgages? The Role of High Risk Lenders","title-short":"What Drives Racial and Ethnic Differences in High Cost Mortgages?","URL":"http://www.nber.org/papers/w22004.pdf","author":[{"family":"Bayer","given":"Patrick"},{"family":"Ferreira","given":"Fernando"},{"family":"Ross","given":"Stephen"}],"accessed":{"date-parts":[["2022",8,11]]},"issued":{"date-parts":[["2016",2]]}}}],"schema":"https://github.com/citation-style-language/schema/raw/master/csl-citation.json"}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(Bayer et al., 2016)</w:t>
      </w:r>
      <w:r>
        <w:rPr>
          <w:rFonts w:asciiTheme="majorHAnsi" w:eastAsiaTheme="majorEastAsia" w:hAnsiTheme="majorHAnsi" w:cstheme="majorBidi"/>
          <w:color w:val="2F5496" w:themeColor="accent1" w:themeShade="BF"/>
          <w:sz w:val="26"/>
          <w:szCs w:val="26"/>
        </w:rPr>
        <w:fldChar w:fldCharType="end"/>
      </w:r>
    </w:p>
    <w:p w14:paraId="4258BE8F" w14:textId="77777777" w:rsidR="00454FBD" w:rsidRDefault="00454FBD" w:rsidP="00454FBD">
      <w:pPr>
        <w:rPr>
          <w:rFonts w:eastAsiaTheme="minorEastAsia"/>
          <w:color w:val="5A5A5A" w:themeColor="text1" w:themeTint="A5"/>
          <w:spacing w:val="15"/>
          <w:sz w:val="22"/>
          <w:szCs w:val="22"/>
        </w:rPr>
      </w:pPr>
      <w:r w:rsidRPr="00454FBD">
        <w:rPr>
          <w:rFonts w:eastAsiaTheme="minorEastAsia"/>
          <w:b/>
          <w:bCs/>
          <w:sz w:val="22"/>
          <w:szCs w:val="22"/>
        </w:rPr>
        <w:t>Abstract</w:t>
      </w:r>
      <w:r>
        <w:rPr>
          <w:b/>
          <w:bCs/>
        </w:rPr>
        <w:t xml:space="preserve"> </w:t>
      </w:r>
      <w:r w:rsidRPr="00454FBD">
        <w:rPr>
          <w:rFonts w:eastAsiaTheme="minorEastAsia"/>
          <w:color w:val="5A5A5A" w:themeColor="text1" w:themeTint="A5"/>
          <w:spacing w:val="15"/>
          <w:sz w:val="22"/>
          <w:szCs w:val="22"/>
        </w:rPr>
        <w:t xml:space="preserve">This paper examines racial and ethnic differences in </w:t>
      </w:r>
      <w:proofErr w:type="gramStart"/>
      <w:r w:rsidRPr="00454FBD">
        <w:rPr>
          <w:rFonts w:eastAsiaTheme="minorEastAsia"/>
          <w:color w:val="5A5A5A" w:themeColor="text1" w:themeTint="A5"/>
          <w:spacing w:val="15"/>
          <w:sz w:val="22"/>
          <w:szCs w:val="22"/>
        </w:rPr>
        <w:t>high cost</w:t>
      </w:r>
      <w:proofErr w:type="gramEnd"/>
      <w:r w:rsidRPr="00454FBD">
        <w:rPr>
          <w:rFonts w:eastAsiaTheme="minorEastAsia"/>
          <w:color w:val="5A5A5A" w:themeColor="text1" w:themeTint="A5"/>
          <w:spacing w:val="15"/>
          <w:sz w:val="22"/>
          <w:szCs w:val="22"/>
        </w:rPr>
        <w:t xml:space="preserve"> mortgage lending in seven diverse metropolitan areas from 2004-2007. Even after controlling for credit score and other key risk factors, </w:t>
      </w:r>
      <w:proofErr w:type="gramStart"/>
      <w:r w:rsidRPr="00454FBD">
        <w:rPr>
          <w:rFonts w:eastAsiaTheme="minorEastAsia"/>
          <w:color w:val="5A5A5A" w:themeColor="text1" w:themeTint="A5"/>
          <w:spacing w:val="15"/>
          <w:sz w:val="22"/>
          <w:szCs w:val="22"/>
        </w:rPr>
        <w:t>African-American</w:t>
      </w:r>
      <w:proofErr w:type="gramEnd"/>
      <w:r w:rsidRPr="00454FBD">
        <w:rPr>
          <w:rFonts w:eastAsiaTheme="minorEastAsia"/>
          <w:color w:val="5A5A5A" w:themeColor="text1" w:themeTint="A5"/>
          <w:spacing w:val="15"/>
          <w:sz w:val="22"/>
          <w:szCs w:val="22"/>
        </w:rPr>
        <w:t xml:space="preserve"> and Hispanic home buyers are 105 and 78 percent more likely to have high cost mortgages for home purchases. The increased incidence of </w:t>
      </w:r>
      <w:proofErr w:type="gramStart"/>
      <w:r w:rsidRPr="00454FBD">
        <w:rPr>
          <w:rFonts w:eastAsiaTheme="minorEastAsia"/>
          <w:color w:val="5A5A5A" w:themeColor="text1" w:themeTint="A5"/>
          <w:spacing w:val="15"/>
          <w:sz w:val="22"/>
          <w:szCs w:val="22"/>
        </w:rPr>
        <w:t>high cost</w:t>
      </w:r>
      <w:proofErr w:type="gramEnd"/>
      <w:r w:rsidRPr="00454FBD">
        <w:rPr>
          <w:rFonts w:eastAsiaTheme="minorEastAsia"/>
          <w:color w:val="5A5A5A" w:themeColor="text1" w:themeTint="A5"/>
          <w:spacing w:val="15"/>
          <w:sz w:val="22"/>
          <w:szCs w:val="22"/>
        </w:rPr>
        <w:t xml:space="preserve"> mortgages is attributable to both sorting across lenders (60-65 percent) and differential treatment of equally qualified borrowers by lenders (35-40 percent). The vast majority of the racial and ethnic differences across lender can be explained by a single measure of the lender’s foreclosure risk and most of the within-lender differences are concentrated at high-risk lenders. Thus, differential exposure to </w:t>
      </w:r>
      <w:r w:rsidRPr="00454FBD">
        <w:rPr>
          <w:rFonts w:eastAsiaTheme="minorEastAsia"/>
          <w:color w:val="5A5A5A" w:themeColor="text1" w:themeTint="A5"/>
          <w:spacing w:val="15"/>
          <w:sz w:val="22"/>
          <w:szCs w:val="22"/>
        </w:rPr>
        <w:lastRenderedPageBreak/>
        <w:t xml:space="preserve">high-risk lenders combined with the differential treatment by these lenders explains almost all of the racial and ethnic differences in </w:t>
      </w:r>
      <w:proofErr w:type="gramStart"/>
      <w:r w:rsidRPr="00454FBD">
        <w:rPr>
          <w:rFonts w:eastAsiaTheme="minorEastAsia"/>
          <w:color w:val="5A5A5A" w:themeColor="text1" w:themeTint="A5"/>
          <w:spacing w:val="15"/>
          <w:sz w:val="22"/>
          <w:szCs w:val="22"/>
        </w:rPr>
        <w:t>high cost</w:t>
      </w:r>
      <w:proofErr w:type="gramEnd"/>
      <w:r w:rsidRPr="00454FBD">
        <w:rPr>
          <w:rFonts w:eastAsiaTheme="minorEastAsia"/>
          <w:color w:val="5A5A5A" w:themeColor="text1" w:themeTint="A5"/>
          <w:spacing w:val="15"/>
          <w:sz w:val="22"/>
          <w:szCs w:val="22"/>
        </w:rPr>
        <w:t xml:space="preserve"> mortgage borrowing.</w:t>
      </w:r>
    </w:p>
    <w:p w14:paraId="20FB3A69" w14:textId="49913D4E" w:rsidR="006349CB" w:rsidRPr="00C3341D" w:rsidRDefault="00454FBD" w:rsidP="00454FBD">
      <w:pPr>
        <w:rPr>
          <w:rFonts w:eastAsiaTheme="minorEastAsia"/>
          <w:color w:val="5A5A5A" w:themeColor="text1" w:themeTint="A5"/>
          <w:spacing w:val="15"/>
          <w:sz w:val="22"/>
          <w:szCs w:val="22"/>
        </w:rPr>
      </w:pPr>
      <w:r w:rsidRPr="00454FBD">
        <w:rPr>
          <w:rFonts w:eastAsiaTheme="minorEastAsia"/>
          <w:b/>
          <w:bCs/>
          <w:sz w:val="22"/>
          <w:szCs w:val="22"/>
        </w:rPr>
        <w:t>Notes</w:t>
      </w:r>
      <w:r>
        <w:rPr>
          <w:rFonts w:eastAsiaTheme="minorEastAsia"/>
          <w:color w:val="5A5A5A" w:themeColor="text1" w:themeTint="A5"/>
          <w:spacing w:val="15"/>
          <w:sz w:val="22"/>
          <w:szCs w:val="22"/>
        </w:rPr>
        <w:t xml:space="preserve"> </w:t>
      </w:r>
      <w:r w:rsidR="00C3341D">
        <w:rPr>
          <w:rFonts w:eastAsiaTheme="minorEastAsia"/>
          <w:color w:val="5A5A5A" w:themeColor="text1" w:themeTint="A5"/>
          <w:spacing w:val="15"/>
          <w:sz w:val="22"/>
          <w:szCs w:val="22"/>
        </w:rPr>
        <w:t xml:space="preserve">This paper isn’t all that relevant to me. One relevant note is </w:t>
      </w:r>
      <w:r w:rsidR="00C3341D" w:rsidRPr="00C3341D">
        <w:rPr>
          <w:rFonts w:eastAsiaTheme="minorEastAsia"/>
          <w:color w:val="5A5A5A" w:themeColor="text1" w:themeTint="A5"/>
          <w:spacing w:val="15"/>
          <w:sz w:val="22"/>
          <w:szCs w:val="22"/>
        </w:rPr>
        <w:t>that authors find that</w:t>
      </w:r>
      <w:r w:rsidR="00C3341D" w:rsidRPr="00C3341D">
        <w:rPr>
          <w:rFonts w:eastAsiaTheme="minorEastAsia"/>
          <w:color w:val="5A5A5A" w:themeColor="text1" w:themeTint="A5"/>
          <w:spacing w:val="15"/>
          <w:sz w:val="22"/>
          <w:szCs w:val="22"/>
        </w:rPr>
        <w:t xml:space="preserve"> minority status is far more important than neighborhood characteristics in borrowers being sorted into high-risk lenders. This may not be directly generalizable to underwriting, though, and it would be interesting if it wasn't!</w:t>
      </w:r>
      <w:r w:rsidR="006349CB" w:rsidRPr="00454FBD">
        <w:rPr>
          <w:rFonts w:eastAsiaTheme="minorEastAsia"/>
          <w:color w:val="5A5A5A" w:themeColor="text1" w:themeTint="A5"/>
          <w:spacing w:val="15"/>
          <w:sz w:val="22"/>
          <w:szCs w:val="22"/>
        </w:rPr>
        <w:br w:type="page"/>
      </w:r>
    </w:p>
    <w:p w14:paraId="34B372CD" w14:textId="36024E22" w:rsidR="00C7575A" w:rsidRPr="00C7575A" w:rsidRDefault="00C7575A" w:rsidP="00C7575A">
      <w:pPr>
        <w:pBdr>
          <w:bottom w:val="single" w:sz="6" w:space="1" w:color="auto"/>
        </w:pBdr>
        <w:rPr>
          <w:b/>
          <w:bCs/>
        </w:rPr>
      </w:pPr>
      <w:r w:rsidRPr="00C7575A">
        <w:rPr>
          <w:b/>
          <w:bCs/>
        </w:rPr>
        <w:lastRenderedPageBreak/>
        <w:t>Bibliography</w:t>
      </w:r>
    </w:p>
    <w:p w14:paraId="4A8E5B1D" w14:textId="77777777" w:rsidR="00454FBD" w:rsidRPr="00454FBD" w:rsidRDefault="006349CB" w:rsidP="00454FBD">
      <w:pPr>
        <w:pStyle w:val="Bibliography"/>
        <w:rPr>
          <w:rFonts w:ascii="Calibri" w:cs="Calibri"/>
        </w:rPr>
      </w:pPr>
      <w:r>
        <w:rPr>
          <w:rFonts w:asciiTheme="majorHAnsi" w:eastAsiaTheme="majorEastAsia" w:hAnsiTheme="majorHAnsi" w:cstheme="majorBidi"/>
          <w:spacing w:val="-10"/>
          <w:kern w:val="28"/>
          <w:sz w:val="56"/>
          <w:szCs w:val="56"/>
        </w:rPr>
        <w:fldChar w:fldCharType="begin"/>
      </w:r>
      <w:r w:rsidR="00C7575A">
        <w:instrText xml:space="preserve"> ADDIN ZOTERO_BIBL {"uncited":[],"omitted":[],"custom":[]} CSL_BIBLIOGRAPHY </w:instrText>
      </w:r>
      <w:r>
        <w:rPr>
          <w:rFonts w:asciiTheme="majorHAnsi" w:eastAsiaTheme="majorEastAsia" w:hAnsiTheme="majorHAnsi" w:cstheme="majorBidi"/>
          <w:spacing w:val="-10"/>
          <w:kern w:val="28"/>
          <w:sz w:val="56"/>
          <w:szCs w:val="56"/>
        </w:rPr>
        <w:fldChar w:fldCharType="separate"/>
      </w:r>
      <w:r w:rsidR="00454FBD" w:rsidRPr="00454FBD">
        <w:rPr>
          <w:rFonts w:ascii="Calibri" w:cs="Calibri"/>
        </w:rPr>
        <w:t xml:space="preserve">Bayer, P., Ferreira, F., &amp; Ross, S. (2016). </w:t>
      </w:r>
      <w:r w:rsidR="00454FBD" w:rsidRPr="00454FBD">
        <w:rPr>
          <w:rFonts w:ascii="Calibri" w:cs="Calibri"/>
          <w:i/>
          <w:iCs/>
        </w:rPr>
        <w:t xml:space="preserve">What Drives Racial and Ethnic Differences in </w:t>
      </w:r>
      <w:proofErr w:type="gramStart"/>
      <w:r w:rsidR="00454FBD" w:rsidRPr="00454FBD">
        <w:rPr>
          <w:rFonts w:ascii="Calibri" w:cs="Calibri"/>
          <w:i/>
          <w:iCs/>
        </w:rPr>
        <w:t>High Cost</w:t>
      </w:r>
      <w:proofErr w:type="gramEnd"/>
      <w:r w:rsidR="00454FBD" w:rsidRPr="00454FBD">
        <w:rPr>
          <w:rFonts w:ascii="Calibri" w:cs="Calibri"/>
          <w:i/>
          <w:iCs/>
        </w:rPr>
        <w:t xml:space="preserve"> Mortgages? The Role of </w:t>
      </w:r>
      <w:proofErr w:type="gramStart"/>
      <w:r w:rsidR="00454FBD" w:rsidRPr="00454FBD">
        <w:rPr>
          <w:rFonts w:ascii="Calibri" w:cs="Calibri"/>
          <w:i/>
          <w:iCs/>
        </w:rPr>
        <w:t>High Risk</w:t>
      </w:r>
      <w:proofErr w:type="gramEnd"/>
      <w:r w:rsidR="00454FBD" w:rsidRPr="00454FBD">
        <w:rPr>
          <w:rFonts w:ascii="Calibri" w:cs="Calibri"/>
          <w:i/>
          <w:iCs/>
        </w:rPr>
        <w:t xml:space="preserve"> Lenders</w:t>
      </w:r>
      <w:r w:rsidR="00454FBD" w:rsidRPr="00454FBD">
        <w:rPr>
          <w:rFonts w:ascii="Calibri" w:cs="Calibri"/>
        </w:rPr>
        <w:t xml:space="preserve"> (No. w22004; p. w22004). National Bureau of Economic Research. https://doi.org/10.3386/w22004</w:t>
      </w:r>
    </w:p>
    <w:p w14:paraId="524A4B0A" w14:textId="77777777" w:rsidR="00454FBD" w:rsidRPr="00454FBD" w:rsidRDefault="00454FBD" w:rsidP="00454FBD">
      <w:pPr>
        <w:pStyle w:val="Bibliography"/>
        <w:rPr>
          <w:rFonts w:ascii="Calibri" w:cs="Calibri"/>
        </w:rPr>
      </w:pPr>
      <w:proofErr w:type="spellStart"/>
      <w:r w:rsidRPr="00454FBD">
        <w:rPr>
          <w:rFonts w:ascii="Calibri" w:cs="Calibri"/>
        </w:rPr>
        <w:t>Coibion</w:t>
      </w:r>
      <w:proofErr w:type="spellEnd"/>
      <w:r w:rsidRPr="00454FBD">
        <w:rPr>
          <w:rFonts w:ascii="Calibri" w:cs="Calibri"/>
        </w:rPr>
        <w:t xml:space="preserve">, O., </w:t>
      </w:r>
      <w:proofErr w:type="spellStart"/>
      <w:r w:rsidRPr="00454FBD">
        <w:rPr>
          <w:rFonts w:ascii="Calibri" w:cs="Calibri"/>
        </w:rPr>
        <w:t>Gorodnichenko</w:t>
      </w:r>
      <w:proofErr w:type="spellEnd"/>
      <w:r w:rsidRPr="00454FBD">
        <w:rPr>
          <w:rFonts w:ascii="Calibri" w:cs="Calibri"/>
        </w:rPr>
        <w:t xml:space="preserve">, Y., </w:t>
      </w:r>
      <w:proofErr w:type="spellStart"/>
      <w:r w:rsidRPr="00454FBD">
        <w:rPr>
          <w:rFonts w:ascii="Calibri" w:cs="Calibri"/>
        </w:rPr>
        <w:t>Kudlyak</w:t>
      </w:r>
      <w:proofErr w:type="spellEnd"/>
      <w:r w:rsidRPr="00454FBD">
        <w:rPr>
          <w:rFonts w:ascii="Calibri" w:cs="Calibri"/>
        </w:rPr>
        <w:t xml:space="preserve">, M., &amp; Mondragon, J. (2014). </w:t>
      </w:r>
      <w:r w:rsidRPr="00454FBD">
        <w:rPr>
          <w:rFonts w:ascii="Calibri" w:cs="Calibri"/>
          <w:i/>
          <w:iCs/>
        </w:rPr>
        <w:t>Does Greater Inequality Lead to More Household Borrowing? New Evidence from Household Data</w:t>
      </w:r>
      <w:r w:rsidRPr="00454FBD">
        <w:rPr>
          <w:rFonts w:ascii="Calibri" w:cs="Calibri"/>
        </w:rPr>
        <w:t xml:space="preserve"> (No. w19850; p. w19850). National Bureau of Economic Research. https://doi.org/10.3386/w19850</w:t>
      </w:r>
    </w:p>
    <w:p w14:paraId="072DA0DE" w14:textId="77777777" w:rsidR="00454FBD" w:rsidRPr="00454FBD" w:rsidRDefault="00454FBD" w:rsidP="00454FBD">
      <w:pPr>
        <w:pStyle w:val="Bibliography"/>
        <w:rPr>
          <w:rFonts w:ascii="Calibri" w:cs="Calibri"/>
        </w:rPr>
      </w:pPr>
      <w:r w:rsidRPr="00454FBD">
        <w:rPr>
          <w:rFonts w:ascii="Calibri" w:cs="Calibri"/>
        </w:rPr>
        <w:t xml:space="preserve">Frame, W. S., Huang, R., Mayer, E., &amp; </w:t>
      </w:r>
      <w:proofErr w:type="spellStart"/>
      <w:r w:rsidRPr="00454FBD">
        <w:rPr>
          <w:rFonts w:ascii="Calibri" w:cs="Calibri"/>
        </w:rPr>
        <w:t>Sunderam</w:t>
      </w:r>
      <w:proofErr w:type="spellEnd"/>
      <w:r w:rsidRPr="00454FBD">
        <w:rPr>
          <w:rFonts w:ascii="Calibri" w:cs="Calibri"/>
        </w:rPr>
        <w:t xml:space="preserve">, A. (2022). </w:t>
      </w:r>
      <w:r w:rsidRPr="00454FBD">
        <w:rPr>
          <w:rFonts w:ascii="Calibri" w:cs="Calibri"/>
          <w:i/>
          <w:iCs/>
        </w:rPr>
        <w:t>The Impact of Minority Representation at Mortgage Lenders</w:t>
      </w:r>
      <w:r w:rsidRPr="00454FBD">
        <w:rPr>
          <w:rFonts w:ascii="Calibri" w:cs="Calibri"/>
        </w:rPr>
        <w:t xml:space="preserve"> (No. w30125; p. w30125). National Bureau of Economic Research. https://doi.org/10.3386/w30125</w:t>
      </w:r>
    </w:p>
    <w:p w14:paraId="38ACC617" w14:textId="6C8E84BB" w:rsidR="006349CB" w:rsidRPr="006349CB" w:rsidRDefault="006349CB" w:rsidP="006349CB">
      <w:r>
        <w:fldChar w:fldCharType="end"/>
      </w:r>
    </w:p>
    <w:sectPr w:rsidR="006349CB" w:rsidRPr="006349CB" w:rsidSect="004B12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0812A" w14:textId="77777777" w:rsidR="00C9673A" w:rsidRDefault="00C9673A" w:rsidP="00C7575A">
      <w:pPr>
        <w:spacing w:after="0"/>
      </w:pPr>
      <w:r>
        <w:separator/>
      </w:r>
    </w:p>
  </w:endnote>
  <w:endnote w:type="continuationSeparator" w:id="0">
    <w:p w14:paraId="0734D8C8" w14:textId="77777777" w:rsidR="00C9673A" w:rsidRDefault="00C9673A" w:rsidP="00C75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12D58" w14:textId="77777777" w:rsidR="00C9673A" w:rsidRDefault="00C9673A" w:rsidP="00C7575A">
      <w:pPr>
        <w:spacing w:after="0"/>
      </w:pPr>
      <w:r>
        <w:separator/>
      </w:r>
    </w:p>
  </w:footnote>
  <w:footnote w:type="continuationSeparator" w:id="0">
    <w:p w14:paraId="7F2933D3" w14:textId="77777777" w:rsidR="00C9673A" w:rsidRDefault="00C9673A" w:rsidP="00C7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B33F0D"/>
    <w:multiLevelType w:val="hybridMultilevel"/>
    <w:tmpl w:val="778A7C78"/>
    <w:lvl w:ilvl="0" w:tplc="82C2C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496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66"/>
    <w:rsid w:val="00013036"/>
    <w:rsid w:val="00163766"/>
    <w:rsid w:val="001E1826"/>
    <w:rsid w:val="001E1E7A"/>
    <w:rsid w:val="00323B13"/>
    <w:rsid w:val="00454FBD"/>
    <w:rsid w:val="00466D05"/>
    <w:rsid w:val="004850D9"/>
    <w:rsid w:val="0049377A"/>
    <w:rsid w:val="00494EBD"/>
    <w:rsid w:val="004A25BB"/>
    <w:rsid w:val="004B12D8"/>
    <w:rsid w:val="00504C65"/>
    <w:rsid w:val="006349CB"/>
    <w:rsid w:val="007278B8"/>
    <w:rsid w:val="0081275E"/>
    <w:rsid w:val="00835B3B"/>
    <w:rsid w:val="008777CD"/>
    <w:rsid w:val="0088570F"/>
    <w:rsid w:val="008B01B7"/>
    <w:rsid w:val="008F136F"/>
    <w:rsid w:val="009C38F3"/>
    <w:rsid w:val="00A07341"/>
    <w:rsid w:val="00A37750"/>
    <w:rsid w:val="00A44564"/>
    <w:rsid w:val="00A678C6"/>
    <w:rsid w:val="00A81845"/>
    <w:rsid w:val="00A86AFB"/>
    <w:rsid w:val="00BB23AB"/>
    <w:rsid w:val="00C3341D"/>
    <w:rsid w:val="00C7575A"/>
    <w:rsid w:val="00C9673A"/>
    <w:rsid w:val="00D037E0"/>
    <w:rsid w:val="00D14163"/>
    <w:rsid w:val="00DD5A00"/>
    <w:rsid w:val="00F47AA6"/>
    <w:rsid w:val="00FF4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A705D"/>
  <w15:chartTrackingRefBased/>
  <w15:docId w15:val="{FC87EC67-B235-784D-884F-DC353915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349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A86A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86AFB"/>
    <w:rPr>
      <w:i/>
      <w:iCs/>
      <w:color w:val="4472C4" w:themeColor="accent1"/>
    </w:rPr>
  </w:style>
  <w:style w:type="paragraph" w:styleId="Quote">
    <w:name w:val="Quote"/>
    <w:basedOn w:val="Normal"/>
    <w:next w:val="Normal"/>
    <w:link w:val="QuoteChar"/>
    <w:uiPriority w:val="29"/>
    <w:qFormat/>
    <w:rsid w:val="00A86AF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86AFB"/>
    <w:rPr>
      <w:i/>
      <w:iCs/>
      <w:color w:val="404040" w:themeColor="text1" w:themeTint="BF"/>
    </w:rPr>
  </w:style>
  <w:style w:type="paragraph" w:styleId="Title">
    <w:name w:val="Title"/>
    <w:basedOn w:val="Normal"/>
    <w:next w:val="Normal"/>
    <w:link w:val="TitleChar"/>
    <w:uiPriority w:val="10"/>
    <w:qFormat/>
    <w:rsid w:val="00A86AFB"/>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AF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86AFB"/>
    <w:rPr>
      <w:rFonts w:eastAsiaTheme="minorEastAsia"/>
      <w:color w:val="5A5A5A" w:themeColor="text1" w:themeTint="A5"/>
      <w:spacing w:val="15"/>
      <w:sz w:val="22"/>
      <w:szCs w:val="22"/>
    </w:rPr>
  </w:style>
  <w:style w:type="paragraph" w:styleId="ListParagraph">
    <w:name w:val="List Paragraph"/>
    <w:basedOn w:val="Normal"/>
    <w:uiPriority w:val="34"/>
    <w:qFormat/>
    <w:rsid w:val="00A86AFB"/>
    <w:pPr>
      <w:ind w:left="720"/>
      <w:contextualSpacing/>
    </w:pPr>
  </w:style>
  <w:style w:type="character" w:styleId="BookTitle">
    <w:name w:val="Book Title"/>
    <w:aliases w:val="Paper title"/>
    <w:basedOn w:val="DefaultParagraphFont"/>
    <w:uiPriority w:val="33"/>
    <w:qFormat/>
    <w:rsid w:val="00FF48B8"/>
    <w:rPr>
      <w:b/>
      <w:bCs/>
      <w:i/>
      <w:iCs/>
      <w:spacing w:val="5"/>
    </w:rPr>
  </w:style>
  <w:style w:type="character" w:styleId="Emphasis">
    <w:name w:val="Emphasis"/>
    <w:basedOn w:val="DefaultParagraphFont"/>
    <w:uiPriority w:val="20"/>
    <w:qFormat/>
    <w:rsid w:val="00FF48B8"/>
    <w:rPr>
      <w:i/>
      <w:iCs/>
    </w:rPr>
  </w:style>
  <w:style w:type="character" w:styleId="SubtleEmphasis">
    <w:name w:val="Subtle Emphasis"/>
    <w:basedOn w:val="DefaultParagraphFont"/>
    <w:uiPriority w:val="19"/>
    <w:qFormat/>
    <w:rsid w:val="00FF48B8"/>
    <w:rPr>
      <w:i/>
      <w:iCs/>
      <w:color w:val="404040" w:themeColor="text1" w:themeTint="BF"/>
    </w:rPr>
  </w:style>
  <w:style w:type="paragraph" w:styleId="Bibliography">
    <w:name w:val="Bibliography"/>
    <w:basedOn w:val="Normal"/>
    <w:next w:val="Normal"/>
    <w:uiPriority w:val="37"/>
    <w:unhideWhenUsed/>
    <w:rsid w:val="006349CB"/>
    <w:pPr>
      <w:spacing w:after="0"/>
      <w:ind w:left="720" w:hanging="720"/>
    </w:pPr>
  </w:style>
  <w:style w:type="character" w:customStyle="1" w:styleId="Heading2Char">
    <w:name w:val="Heading 2 Char"/>
    <w:basedOn w:val="DefaultParagraphFont"/>
    <w:link w:val="Heading2"/>
    <w:uiPriority w:val="9"/>
    <w:rsid w:val="006349C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575A"/>
    <w:pPr>
      <w:tabs>
        <w:tab w:val="center" w:pos="4680"/>
        <w:tab w:val="right" w:pos="9360"/>
      </w:tabs>
      <w:spacing w:after="0"/>
    </w:pPr>
  </w:style>
  <w:style w:type="character" w:customStyle="1" w:styleId="HeaderChar">
    <w:name w:val="Header Char"/>
    <w:basedOn w:val="DefaultParagraphFont"/>
    <w:link w:val="Header"/>
    <w:uiPriority w:val="99"/>
    <w:rsid w:val="00C7575A"/>
  </w:style>
  <w:style w:type="paragraph" w:styleId="Footer">
    <w:name w:val="footer"/>
    <w:basedOn w:val="Normal"/>
    <w:link w:val="FooterChar"/>
    <w:uiPriority w:val="99"/>
    <w:unhideWhenUsed/>
    <w:rsid w:val="00C7575A"/>
    <w:pPr>
      <w:tabs>
        <w:tab w:val="center" w:pos="4680"/>
        <w:tab w:val="right" w:pos="9360"/>
      </w:tabs>
      <w:spacing w:after="0"/>
    </w:pPr>
  </w:style>
  <w:style w:type="character" w:customStyle="1" w:styleId="FooterChar">
    <w:name w:val="Footer Char"/>
    <w:basedOn w:val="DefaultParagraphFont"/>
    <w:link w:val="Footer"/>
    <w:uiPriority w:val="99"/>
    <w:rsid w:val="00C7575A"/>
  </w:style>
  <w:style w:type="paragraph" w:styleId="HTMLPreformatted">
    <w:name w:val="HTML Preformatted"/>
    <w:basedOn w:val="Normal"/>
    <w:link w:val="HTMLPreformattedChar"/>
    <w:uiPriority w:val="99"/>
    <w:semiHidden/>
    <w:unhideWhenUsed/>
    <w:rsid w:val="0048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0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12275">
      <w:bodyDiv w:val="1"/>
      <w:marLeft w:val="0"/>
      <w:marRight w:val="0"/>
      <w:marTop w:val="0"/>
      <w:marBottom w:val="0"/>
      <w:divBdr>
        <w:top w:val="none" w:sz="0" w:space="0" w:color="auto"/>
        <w:left w:val="none" w:sz="0" w:space="0" w:color="auto"/>
        <w:bottom w:val="none" w:sz="0" w:space="0" w:color="auto"/>
        <w:right w:val="none" w:sz="0" w:space="0" w:color="auto"/>
      </w:divBdr>
    </w:div>
    <w:div w:id="544878096">
      <w:bodyDiv w:val="1"/>
      <w:marLeft w:val="0"/>
      <w:marRight w:val="0"/>
      <w:marTop w:val="0"/>
      <w:marBottom w:val="0"/>
      <w:divBdr>
        <w:top w:val="none" w:sz="0" w:space="0" w:color="auto"/>
        <w:left w:val="none" w:sz="0" w:space="0" w:color="auto"/>
        <w:bottom w:val="none" w:sz="0" w:space="0" w:color="auto"/>
        <w:right w:val="none" w:sz="0" w:space="0" w:color="auto"/>
      </w:divBdr>
    </w:div>
    <w:div w:id="631057380">
      <w:bodyDiv w:val="1"/>
      <w:marLeft w:val="0"/>
      <w:marRight w:val="0"/>
      <w:marTop w:val="0"/>
      <w:marBottom w:val="0"/>
      <w:divBdr>
        <w:top w:val="none" w:sz="0" w:space="0" w:color="auto"/>
        <w:left w:val="none" w:sz="0" w:space="0" w:color="auto"/>
        <w:bottom w:val="none" w:sz="0" w:space="0" w:color="auto"/>
        <w:right w:val="none" w:sz="0" w:space="0" w:color="auto"/>
      </w:divBdr>
    </w:div>
    <w:div w:id="651376064">
      <w:bodyDiv w:val="1"/>
      <w:marLeft w:val="0"/>
      <w:marRight w:val="0"/>
      <w:marTop w:val="0"/>
      <w:marBottom w:val="0"/>
      <w:divBdr>
        <w:top w:val="none" w:sz="0" w:space="0" w:color="auto"/>
        <w:left w:val="none" w:sz="0" w:space="0" w:color="auto"/>
        <w:bottom w:val="none" w:sz="0" w:space="0" w:color="auto"/>
        <w:right w:val="none" w:sz="0" w:space="0" w:color="auto"/>
      </w:divBdr>
    </w:div>
    <w:div w:id="787118291">
      <w:bodyDiv w:val="1"/>
      <w:marLeft w:val="0"/>
      <w:marRight w:val="0"/>
      <w:marTop w:val="0"/>
      <w:marBottom w:val="0"/>
      <w:divBdr>
        <w:top w:val="none" w:sz="0" w:space="0" w:color="auto"/>
        <w:left w:val="none" w:sz="0" w:space="0" w:color="auto"/>
        <w:bottom w:val="none" w:sz="0" w:space="0" w:color="auto"/>
        <w:right w:val="none" w:sz="0" w:space="0" w:color="auto"/>
      </w:divBdr>
    </w:div>
    <w:div w:id="176321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16</cp:revision>
  <dcterms:created xsi:type="dcterms:W3CDTF">2022-07-31T01:26:00Z</dcterms:created>
  <dcterms:modified xsi:type="dcterms:W3CDTF">2022-08-12T01:37:00Z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zotero-version="6.0.11"&gt;&lt;session id="GGAiYUYJ"/&gt;&lt;style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