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D3CC24" w14:textId="5494C8B0" w:rsidR="00842EE6" w:rsidRDefault="00FF79AD" w:rsidP="00FF79AD">
      <w:pPr>
        <w:pStyle w:val="ListParagraph"/>
        <w:numPr>
          <w:ilvl w:val="0"/>
          <w:numId w:val="1"/>
        </w:numPr>
      </w:pPr>
      <w:r>
        <w:t>Introduction</w:t>
      </w:r>
      <w:r w:rsidR="00FD5455">
        <w:t>/Summary</w:t>
      </w:r>
    </w:p>
    <w:p w14:paraId="44D97B8D" w14:textId="0043B04C" w:rsidR="00FF79AD" w:rsidRDefault="00FF79AD" w:rsidP="00FF79AD">
      <w:pPr>
        <w:pStyle w:val="ListParagraph"/>
        <w:numPr>
          <w:ilvl w:val="1"/>
          <w:numId w:val="1"/>
        </w:numPr>
      </w:pPr>
      <w:r w:rsidRPr="0016320D">
        <w:rPr>
          <w:b/>
          <w:bCs/>
        </w:rPr>
        <w:t>Research question</w:t>
      </w:r>
      <w:r w:rsidR="00FD5455">
        <w:t xml:space="preserve">: How does increased access to public transportation affect </w:t>
      </w:r>
      <w:r w:rsidR="00113456">
        <w:t>wages</w:t>
      </w:r>
      <w:r w:rsidR="00FD5455">
        <w:t xml:space="preserve">?  </w:t>
      </w:r>
    </w:p>
    <w:p w14:paraId="12EB818C" w14:textId="454FA3E2" w:rsidR="00113456" w:rsidRDefault="00113456" w:rsidP="00FF79AD">
      <w:pPr>
        <w:pStyle w:val="ListParagraph"/>
        <w:numPr>
          <w:ilvl w:val="1"/>
          <w:numId w:val="1"/>
        </w:numPr>
      </w:pPr>
      <w:r>
        <w:t xml:space="preserve">I propose to measure local changes in income following a change in access to public transportation – in this case, a new train station. I hypothesize that when residents get access to public transportation, their labor market outcomes will improve in two ways. First, they are more likely to </w:t>
      </w:r>
      <w:r w:rsidR="0016320D">
        <w:t xml:space="preserve">retain current jobs </w:t>
      </w:r>
      <w:r>
        <w:t>with a more reliable mode of transportation</w:t>
      </w:r>
      <w:r w:rsidR="0016320D">
        <w:t xml:space="preserve">. Second, they are more likely to be able to search for higher-paying jobs in a wider selection of areas in their metro region as a result of newfound public transit access. </w:t>
      </w:r>
    </w:p>
    <w:p w14:paraId="46E5B819" w14:textId="12B2A8CD" w:rsidR="00FD5455" w:rsidRDefault="0016320D" w:rsidP="00FF79AD">
      <w:pPr>
        <w:pStyle w:val="ListParagraph"/>
        <w:numPr>
          <w:ilvl w:val="0"/>
          <w:numId w:val="1"/>
        </w:numPr>
      </w:pPr>
      <w:r>
        <w:t xml:space="preserve">Data </w:t>
      </w:r>
    </w:p>
    <w:p w14:paraId="0B76BC06" w14:textId="638B4AFC" w:rsidR="00113456" w:rsidRDefault="0016320D" w:rsidP="0016320D">
      <w:pPr>
        <w:pStyle w:val="ListParagraph"/>
        <w:numPr>
          <w:ilvl w:val="1"/>
          <w:numId w:val="1"/>
        </w:numPr>
      </w:pPr>
      <w:r>
        <w:t>I will employ the Longitudinal Employer-Household Dynamics (LEHD) data at the Census Bureau to answer this question. The Transit Costs Project (TCP), a project funded by the NYU Marron Institute of Urban Management, has compiled a database of new and completed transit projects around the world from the last two decades. Using this database, I have identified 19 U.S.-based projects featuring a total of 90 stations. I will identify individuals in the LEHD</w:t>
      </w:r>
      <w:r w:rsidR="00DA7561">
        <w:t xml:space="preserve"> who live near these stations and analyze their labor market outcomes before and after the station openings. </w:t>
      </w:r>
    </w:p>
    <w:p w14:paraId="5A492A60" w14:textId="71C88501" w:rsidR="0016320D" w:rsidRDefault="0016320D" w:rsidP="0016320D">
      <w:pPr>
        <w:pStyle w:val="ListParagraph"/>
        <w:numPr>
          <w:ilvl w:val="0"/>
          <w:numId w:val="1"/>
        </w:numPr>
      </w:pPr>
      <w:r>
        <w:t xml:space="preserve">Empirical Strategy </w:t>
      </w:r>
    </w:p>
    <w:p w14:paraId="34A360F0" w14:textId="681C88E3" w:rsidR="00DA7561" w:rsidRDefault="00DA7561" w:rsidP="00DA7561">
      <w:pPr>
        <w:pStyle w:val="ListParagraph"/>
        <w:numPr>
          <w:ilvl w:val="1"/>
          <w:numId w:val="1"/>
        </w:numPr>
      </w:pPr>
      <w:r>
        <w:t xml:space="preserve">With that said, there are a number of anticipatory effects which come into play with regard to </w:t>
      </w:r>
      <w:r w:rsidR="00433808">
        <w:t xml:space="preserve">rail projects. In their 2004 paper, McMillen and McDonald demonstrate that “the housing market [surrounding the area of Chicago’s orange line] anticipated the opening of the line.” </w:t>
      </w:r>
    </w:p>
    <w:p w14:paraId="07013DD1" w14:textId="6AE3F974" w:rsidR="00FF79AD" w:rsidRDefault="00FF79AD" w:rsidP="00FF79AD">
      <w:pPr>
        <w:pStyle w:val="ListParagraph"/>
        <w:numPr>
          <w:ilvl w:val="0"/>
          <w:numId w:val="1"/>
        </w:numPr>
      </w:pPr>
      <w:r>
        <w:t>Broader Impact</w:t>
      </w:r>
    </w:p>
    <w:p w14:paraId="640AE3D6" w14:textId="504A757A" w:rsidR="00FF79AD" w:rsidRDefault="00FF79AD" w:rsidP="00FF79AD">
      <w:pPr>
        <w:pStyle w:val="ListParagraph"/>
        <w:numPr>
          <w:ilvl w:val="1"/>
          <w:numId w:val="1"/>
        </w:numPr>
      </w:pPr>
      <w:r>
        <w:t xml:space="preserve">Public transit as a means for improved financial outcomes </w:t>
      </w:r>
    </w:p>
    <w:p w14:paraId="7EB6A58E" w14:textId="25FEA315" w:rsidR="00FF79AD" w:rsidRDefault="00FF79AD" w:rsidP="00FF79AD">
      <w:pPr>
        <w:pStyle w:val="ListParagraph"/>
        <w:numPr>
          <w:ilvl w:val="2"/>
          <w:numId w:val="1"/>
        </w:numPr>
      </w:pPr>
      <w:r>
        <w:t xml:space="preserve">Impact on employment outcomes </w:t>
      </w:r>
    </w:p>
    <w:p w14:paraId="4F10BBB7" w14:textId="048D8AC6" w:rsidR="00FF79AD" w:rsidRDefault="00DA5BF0" w:rsidP="00FF79AD">
      <w:pPr>
        <w:pStyle w:val="ListParagraph"/>
        <w:numPr>
          <w:ilvl w:val="2"/>
          <w:numId w:val="1"/>
        </w:numPr>
      </w:pPr>
      <w:r>
        <w:t>Positive impact of highways on income (Baum-Snow, 2019)</w:t>
      </w:r>
    </w:p>
    <w:p w14:paraId="451181DB" w14:textId="509DBBA1" w:rsidR="003253FF" w:rsidRDefault="003253FF" w:rsidP="00FF79AD">
      <w:pPr>
        <w:pStyle w:val="ListParagraph"/>
        <w:numPr>
          <w:ilvl w:val="2"/>
          <w:numId w:val="1"/>
        </w:numPr>
      </w:pPr>
      <w:r>
        <w:t xml:space="preserve">Mortgage outcomes </w:t>
      </w:r>
    </w:p>
    <w:p w14:paraId="7256D96C" w14:textId="0E284D6C" w:rsidR="00E672AE" w:rsidRDefault="00E672AE" w:rsidP="00B9243B">
      <w:pPr>
        <w:pStyle w:val="ListParagraph"/>
        <w:numPr>
          <w:ilvl w:val="3"/>
          <w:numId w:val="1"/>
        </w:numPr>
      </w:pPr>
      <w:r>
        <w:t xml:space="preserve">Public transit and walkability have an </w:t>
      </w:r>
      <w:r w:rsidR="00113456">
        <w:t>e</w:t>
      </w:r>
      <w:r>
        <w:t>ffect on mortgage default probability (Rauterkus et al. 2010</w:t>
      </w:r>
      <w:r w:rsidR="00B9243B">
        <w:t xml:space="preserve">) </w:t>
      </w:r>
    </w:p>
    <w:p w14:paraId="2112861D" w14:textId="231BE544" w:rsidR="003253FF" w:rsidRDefault="003253FF" w:rsidP="003253FF">
      <w:pPr>
        <w:pStyle w:val="ListParagraph"/>
        <w:numPr>
          <w:ilvl w:val="1"/>
          <w:numId w:val="1"/>
        </w:numPr>
      </w:pPr>
      <w:r>
        <w:t xml:space="preserve">Public transit as an egalitarian tool </w:t>
      </w:r>
    </w:p>
    <w:p w14:paraId="00371E66" w14:textId="1694D398" w:rsidR="003253FF" w:rsidRDefault="003253FF" w:rsidP="003253FF">
      <w:pPr>
        <w:pStyle w:val="ListParagraph"/>
        <w:numPr>
          <w:ilvl w:val="2"/>
          <w:numId w:val="1"/>
        </w:numPr>
      </w:pPr>
      <w:r>
        <w:t>Mitigating effects on segregation (Grengs, 2001)</w:t>
      </w:r>
    </w:p>
    <w:p w14:paraId="6686322D" w14:textId="3B89E3B7" w:rsidR="00E8057C" w:rsidRDefault="00E8057C" w:rsidP="00E8057C">
      <w:pPr>
        <w:pStyle w:val="ListParagraph"/>
        <w:numPr>
          <w:ilvl w:val="2"/>
          <w:numId w:val="1"/>
        </w:numPr>
      </w:pPr>
      <w:r>
        <w:t xml:space="preserve">Public transit serves lower-income populations </w:t>
      </w:r>
      <w:r>
        <w:t>(Taylor, 2014)</w:t>
      </w:r>
    </w:p>
    <w:p w14:paraId="33F1BED2" w14:textId="6AD55853" w:rsidR="00B1287B" w:rsidRDefault="00B1287B" w:rsidP="00B1287B">
      <w:pPr>
        <w:pStyle w:val="ListParagraph"/>
        <w:numPr>
          <w:ilvl w:val="1"/>
          <w:numId w:val="1"/>
        </w:numPr>
      </w:pPr>
      <w:r>
        <w:t xml:space="preserve">Literature on measuring the cost-benefit </w:t>
      </w:r>
      <w:r w:rsidR="00D51BF4">
        <w:t xml:space="preserve">analysis of public investment in public transit </w:t>
      </w:r>
    </w:p>
    <w:p w14:paraId="15AA4E6F" w14:textId="426C5A6A" w:rsidR="00D51BF4" w:rsidRDefault="00D51BF4" w:rsidP="00D51BF4">
      <w:pPr>
        <w:pStyle w:val="ListParagraph"/>
        <w:numPr>
          <w:ilvl w:val="2"/>
          <w:numId w:val="1"/>
        </w:numPr>
      </w:pPr>
      <w:r>
        <w:t xml:space="preserve">Brooks paper on bus usage </w:t>
      </w:r>
    </w:p>
    <w:p w14:paraId="238A288C" w14:textId="0F333BCD" w:rsidR="00B1287B" w:rsidRDefault="00B1287B" w:rsidP="00B1287B">
      <w:pPr>
        <w:pStyle w:val="ListParagraph"/>
        <w:numPr>
          <w:ilvl w:val="1"/>
          <w:numId w:val="1"/>
        </w:numPr>
      </w:pPr>
      <w:r>
        <w:t xml:space="preserve">Larger point: measuring the effect of public transit on employment outcomes will </w:t>
      </w:r>
    </w:p>
    <w:p w14:paraId="2A44B109" w14:textId="1B1AE1B8" w:rsidR="00FF79AD" w:rsidRDefault="00FF79AD" w:rsidP="00FF79AD">
      <w:pPr>
        <w:pStyle w:val="ListParagraph"/>
        <w:numPr>
          <w:ilvl w:val="0"/>
          <w:numId w:val="1"/>
        </w:numPr>
      </w:pPr>
      <w:r>
        <w:t xml:space="preserve">Intellectual Merit </w:t>
      </w:r>
    </w:p>
    <w:sectPr w:rsidR="00FF79A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7558B5" w14:textId="77777777" w:rsidR="00FF79AD" w:rsidRDefault="00FF79AD" w:rsidP="00FF79AD">
      <w:pPr>
        <w:spacing w:after="0" w:line="240" w:lineRule="auto"/>
      </w:pPr>
      <w:r>
        <w:separator/>
      </w:r>
    </w:p>
  </w:endnote>
  <w:endnote w:type="continuationSeparator" w:id="0">
    <w:p w14:paraId="118632E7" w14:textId="77777777" w:rsidR="00FF79AD" w:rsidRDefault="00FF79AD" w:rsidP="00FF7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88EE5" w14:textId="77777777" w:rsidR="00FF79AD" w:rsidRDefault="00FF79AD" w:rsidP="00FF79AD">
      <w:pPr>
        <w:spacing w:after="0" w:line="240" w:lineRule="auto"/>
      </w:pPr>
      <w:r>
        <w:separator/>
      </w:r>
    </w:p>
  </w:footnote>
  <w:footnote w:type="continuationSeparator" w:id="0">
    <w:p w14:paraId="3A6FE037" w14:textId="77777777" w:rsidR="00FF79AD" w:rsidRDefault="00FF79AD" w:rsidP="00FF7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E6CA14" w14:textId="341F03F7" w:rsidR="00FF79AD" w:rsidRDefault="00FF79A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4E7F399" wp14:editId="0011D9FD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1" name="MSIPCM4ea44ec399eee51c81d2df85" descr="{&quot;HashCode&quot;:810590895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A2EC819" w14:textId="0F228155" w:rsidR="00FF79AD" w:rsidRPr="00FF79AD" w:rsidRDefault="00FF79AD" w:rsidP="00FF79AD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</w:rPr>
                          </w:pPr>
                          <w:r w:rsidRPr="00FF79AD">
                            <w:rPr>
                              <w:rFonts w:ascii="Calibri" w:hAnsi="Calibri" w:cs="Calibri"/>
                              <w:color w:val="000000"/>
                            </w:rPr>
                            <w:t>PERSONAL/NONWORK // EXTERNAL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E7F399" id="_x0000_t202" coordsize="21600,21600" o:spt="202" path="m,l,21600r21600,l21600,xe">
              <v:stroke joinstyle="miter"/>
              <v:path gradientshapeok="t" o:connecttype="rect"/>
            </v:shapetype>
            <v:shape id="MSIPCM4ea44ec399eee51c81d2df85" o:spid="_x0000_s1026" type="#_x0000_t202" alt="{&quot;HashCode&quot;:810590895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fill o:detectmouseclick="t"/>
              <v:textbox inset="20pt,0,,0">
                <w:txbxContent>
                  <w:p w14:paraId="4A2EC819" w14:textId="0F228155" w:rsidR="00FF79AD" w:rsidRPr="00FF79AD" w:rsidRDefault="00FF79AD" w:rsidP="00FF79AD">
                    <w:pPr>
                      <w:spacing w:after="0"/>
                      <w:rPr>
                        <w:rFonts w:ascii="Calibri" w:hAnsi="Calibri" w:cs="Calibri"/>
                        <w:color w:val="000000"/>
                      </w:rPr>
                    </w:pPr>
                    <w:r w:rsidRPr="00FF79AD">
                      <w:rPr>
                        <w:rFonts w:ascii="Calibri" w:hAnsi="Calibri" w:cs="Calibri"/>
                        <w:color w:val="000000"/>
                      </w:rPr>
                      <w:t>PERSONAL/NONWORK //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91571"/>
    <w:multiLevelType w:val="hybridMultilevel"/>
    <w:tmpl w:val="AAF4C066"/>
    <w:lvl w:ilvl="0" w:tplc="84645D9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5561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9AD"/>
    <w:rsid w:val="00074B09"/>
    <w:rsid w:val="00113456"/>
    <w:rsid w:val="0016320D"/>
    <w:rsid w:val="003253FF"/>
    <w:rsid w:val="00433808"/>
    <w:rsid w:val="00842EE6"/>
    <w:rsid w:val="009B07CB"/>
    <w:rsid w:val="00B1287B"/>
    <w:rsid w:val="00B9243B"/>
    <w:rsid w:val="00C717AC"/>
    <w:rsid w:val="00D51BF4"/>
    <w:rsid w:val="00DA5BF0"/>
    <w:rsid w:val="00DA7561"/>
    <w:rsid w:val="00DB6E5D"/>
    <w:rsid w:val="00E672AE"/>
    <w:rsid w:val="00E8057C"/>
    <w:rsid w:val="00FD5455"/>
    <w:rsid w:val="00FF7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46D56A1E"/>
  <w15:chartTrackingRefBased/>
  <w15:docId w15:val="{12BC851D-B982-4239-A577-765A84263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79A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F79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79AD"/>
  </w:style>
  <w:style w:type="paragraph" w:styleId="Footer">
    <w:name w:val="footer"/>
    <w:basedOn w:val="Normal"/>
    <w:link w:val="FooterChar"/>
    <w:uiPriority w:val="99"/>
    <w:unhideWhenUsed/>
    <w:rsid w:val="00FF79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79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1</Pages>
  <Words>322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6</cp:revision>
  <dcterms:created xsi:type="dcterms:W3CDTF">2023-06-08T13:15:00Z</dcterms:created>
  <dcterms:modified xsi:type="dcterms:W3CDTF">2023-06-08T18:47:00Z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46154c5e-176d-4b85-a054-c965405d98ff</vt:lpwstr>
  </property>
  <property fmtid="{D5CDD505-2E9C-101B-9397-08002B2CF9AE}" pid="3" name="MSIP_Label_020c9e8b-b879-4ade-97ac-60b9c2bff5e3_Enabled">
    <vt:lpwstr>true</vt:lpwstr>
  </property>
  <property fmtid="{D5CDD505-2E9C-101B-9397-08002B2CF9AE}" pid="4" name="MSIP_Label_020c9e8b-b879-4ade-97ac-60b9c2bff5e3_SetDate">
    <vt:lpwstr>2023-06-08T18:47:45Z</vt:lpwstr>
  </property>
  <property fmtid="{D5CDD505-2E9C-101B-9397-08002B2CF9AE}" pid="5" name="MSIP_Label_020c9e8b-b879-4ade-97ac-60b9c2bff5e3_Method">
    <vt:lpwstr>Privileged</vt:lpwstr>
  </property>
  <property fmtid="{D5CDD505-2E9C-101B-9397-08002B2CF9AE}" pid="6" name="MSIP_Label_020c9e8b-b879-4ade-97ac-60b9c2bff5e3_Name">
    <vt:lpwstr>PERSONAL-NONWORK - EXTERNAL</vt:lpwstr>
  </property>
  <property fmtid="{D5CDD505-2E9C-101B-9397-08002B2CF9AE}" pid="7" name="MSIP_Label_020c9e8b-b879-4ade-97ac-60b9c2bff5e3_SiteId">
    <vt:lpwstr>87bb2570-5c1e-4973-9c37-09257a95aeb1</vt:lpwstr>
  </property>
  <property fmtid="{D5CDD505-2E9C-101B-9397-08002B2CF9AE}" pid="8" name="MSIP_Label_020c9e8b-b879-4ade-97ac-60b9c2bff5e3_ActionId">
    <vt:lpwstr>9b1297d5-a87e-427f-ac36-7b447047486f</vt:lpwstr>
  </property>
  <property fmtid="{D5CDD505-2E9C-101B-9397-08002B2CF9AE}" pid="9" name="MSIP_Label_020c9e8b-b879-4ade-97ac-60b9c2bff5e3_ContentBits">
    <vt:lpwstr>1</vt:lpwstr>
  </property>
</Properties>
</file>