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D83D7" w14:textId="77777777" w:rsidR="00DA1B16" w:rsidRPr="00064546" w:rsidRDefault="00DA1B16" w:rsidP="00DA1B16">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13B7A62D" w14:textId="77777777" w:rsidR="00DA1B16" w:rsidRPr="00064546" w:rsidRDefault="00DA1B16" w:rsidP="00DA1B16">
      <w:pPr>
        <w:pStyle w:val="NoSpacing"/>
        <w:rPr>
          <w:rFonts w:ascii="Times New Roman" w:hAnsi="Times New Roman" w:cs="Times New Roman"/>
        </w:rPr>
      </w:pPr>
    </w:p>
    <w:p w14:paraId="265A5BCB" w14:textId="038A5692" w:rsidR="00023703" w:rsidRDefault="00F60E29" w:rsidP="00023703">
      <w:pPr>
        <w:pStyle w:val="NoSpacing"/>
        <w:spacing w:after="120"/>
        <w:rPr>
          <w:rFonts w:ascii="Times New Roman" w:hAnsi="Times New Roman" w:cs="Times New Roman"/>
        </w:rPr>
      </w:pPr>
      <w:r>
        <w:rPr>
          <w:rFonts w:ascii="Times New Roman" w:hAnsi="Times New Roman" w:cs="Times New Roman"/>
          <w:b/>
          <w:bCs/>
        </w:rPr>
        <w:t>Motivation</w:t>
      </w:r>
      <w:r>
        <w:rPr>
          <w:rFonts w:ascii="Times New Roman" w:hAnsi="Times New Roman" w:cs="Times New Roman"/>
        </w:rPr>
        <w:t xml:space="preserve"> </w:t>
      </w:r>
      <w:r w:rsidR="00023703">
        <w:rPr>
          <w:rFonts w:ascii="Times New Roman" w:hAnsi="Times New Roman" w:cs="Times New Roman"/>
        </w:rPr>
        <w:t>Nearly half (45%) of Americans have no access to public transportation (</w:t>
      </w:r>
      <w:hyperlink r:id="rId7" w:history="1">
        <w:r w:rsidR="00023703" w:rsidRPr="00023703">
          <w:rPr>
            <w:rStyle w:val="Hyperlink"/>
            <w:rFonts w:ascii="Times New Roman" w:hAnsi="Times New Roman" w:cs="Times New Roman"/>
          </w:rPr>
          <w:t>American Society of Civil Engineers</w:t>
        </w:r>
      </w:hyperlink>
      <w:r w:rsidR="00023703">
        <w:rPr>
          <w:rFonts w:ascii="Times New Roman" w:hAnsi="Times New Roman" w:cs="Times New Roman"/>
        </w:rPr>
        <w:t xml:space="preserve">). </w:t>
      </w:r>
      <w:r w:rsidR="00A9488B">
        <w:rPr>
          <w:rFonts w:ascii="Times New Roman" w:hAnsi="Times New Roman" w:cs="Times New Roman"/>
        </w:rPr>
        <w:t>Of all transit riders, 78% are either students or employed, and 60% of transit riders are individuals of color. Just shy of half of riders, 46%, have no vehicle available to them to complete the trip they take. And finally, individuals with incomes below $15,000 are overrepresented in public transport ridership – while they make up 13% of the U.S. population, they are 21% of all riders. In cities with populations of 200,000 people or fewer, they represent 48% of the public transit ridership</w:t>
      </w:r>
      <w:r w:rsidR="00DD11D0">
        <w:rPr>
          <w:rFonts w:ascii="Times New Roman" w:hAnsi="Times New Roman" w:cs="Times New Roman"/>
        </w:rPr>
        <w:t xml:space="preserve"> (</w:t>
      </w:r>
      <w:hyperlink r:id="rId8" w:history="1">
        <w:r w:rsidR="00DD11D0" w:rsidRPr="00DD11D0">
          <w:rPr>
            <w:rStyle w:val="Hyperlink"/>
            <w:rFonts w:ascii="Times New Roman" w:hAnsi="Times New Roman" w:cs="Times New Roman"/>
          </w:rPr>
          <w:t>American Public Transit Association</w:t>
        </w:r>
      </w:hyperlink>
      <w:r w:rsidR="00DD11D0">
        <w:rPr>
          <w:rFonts w:ascii="Times New Roman" w:hAnsi="Times New Roman" w:cs="Times New Roman"/>
        </w:rPr>
        <w:t>)</w:t>
      </w:r>
      <w:r w:rsidR="00A9488B">
        <w:rPr>
          <w:rFonts w:ascii="Times New Roman" w:hAnsi="Times New Roman" w:cs="Times New Roman"/>
        </w:rPr>
        <w:t xml:space="preserve">. </w:t>
      </w:r>
    </w:p>
    <w:p w14:paraId="4C4C5A90" w14:textId="51DF5BC8" w:rsidR="00F60E29" w:rsidRDefault="00A9488B" w:rsidP="00DD753D">
      <w:pPr>
        <w:pStyle w:val="NoSpacing"/>
        <w:spacing w:after="120"/>
        <w:rPr>
          <w:rFonts w:ascii="Times New Roman" w:hAnsi="Times New Roman" w:cs="Times New Roman"/>
        </w:rPr>
      </w:pPr>
      <w:r>
        <w:rPr>
          <w:rFonts w:ascii="Times New Roman" w:hAnsi="Times New Roman" w:cs="Times New Roman"/>
        </w:rPr>
        <w:t xml:space="preserve">With that said, the public transportation infrastructure in the U.S. is aging. </w:t>
      </w:r>
      <w:r w:rsidR="00DD753D">
        <w:rPr>
          <w:rFonts w:ascii="Times New Roman" w:hAnsi="Times New Roman" w:cs="Times New Roman"/>
        </w:rPr>
        <w:t>Without intervention b</w:t>
      </w:r>
      <w:r w:rsidR="009A0349">
        <w:rPr>
          <w:rFonts w:ascii="Times New Roman" w:hAnsi="Times New Roman" w:cs="Times New Roman"/>
        </w:rPr>
        <w:t xml:space="preserve">y </w:t>
      </w:r>
      <w:r w:rsidR="009A0349" w:rsidRPr="00DD753D">
        <w:rPr>
          <w:rFonts w:ascii="Times New Roman" w:hAnsi="Times New Roman" w:cs="Times New Roman"/>
          <w:color w:val="FF0000"/>
        </w:rPr>
        <w:t xml:space="preserve">2029, 30% </w:t>
      </w:r>
      <w:r w:rsidR="009A0349">
        <w:rPr>
          <w:rFonts w:ascii="Times New Roman" w:hAnsi="Times New Roman" w:cs="Times New Roman"/>
        </w:rPr>
        <w:t xml:space="preserve">of the light rail fleet in the U.S. will be operating beyond </w:t>
      </w:r>
      <w:r w:rsidR="00DD753D">
        <w:rPr>
          <w:rFonts w:ascii="Times New Roman" w:hAnsi="Times New Roman" w:cs="Times New Roman"/>
        </w:rPr>
        <w:t>its capacity without refurbishments. However, the bipartisan infrastructure bill of 2021 allocated a record $108 billion in funding for public transportation, with an eye toward line improvements and extensions.</w:t>
      </w:r>
      <w:r w:rsidR="00E839BC">
        <w:rPr>
          <w:rFonts w:ascii="Times New Roman" w:hAnsi="Times New Roman" w:cs="Times New Roman"/>
        </w:rPr>
        <w:t xml:space="preserve"> Given </w:t>
      </w:r>
      <w:proofErr w:type="gramStart"/>
      <w:r w:rsidR="00E839BC">
        <w:rPr>
          <w:rFonts w:ascii="Times New Roman" w:hAnsi="Times New Roman" w:cs="Times New Roman"/>
        </w:rPr>
        <w:t>that</w:t>
      </w:r>
      <w:proofErr w:type="gramEnd"/>
      <w:r w:rsidR="00E839BC">
        <w:rPr>
          <w:rFonts w:ascii="Times New Roman" w:hAnsi="Times New Roman" w:cs="Times New Roman"/>
        </w:rPr>
        <w:t xml:space="preserve"> </w:t>
      </w:r>
    </w:p>
    <w:p w14:paraId="78F08966" w14:textId="77777777" w:rsidR="00F92AB9" w:rsidRDefault="00F92AB9" w:rsidP="00F92AB9">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I propose to measure local changes in income following an increase in access to public transportation – in this case, a new train station. I hypothesize that when residents get access to public transportation, their labor market outcomes will improve as a result of two mechanisms. First, they are more likely to retain current jobs with a more reliable mode of transportation. Second, they are more likely to be able to search for higher-paying jobs in a wider selection of areas in their metro region because of newfound public transit access. I will exploit the random variation of construction delays to transit projects and compare individuals living in areas with significant delays to those living in areas with minimal delays to measure the effect of gaining physical access to a transit station.</w:t>
      </w:r>
    </w:p>
    <w:p w14:paraId="54FE99F6" w14:textId="77777777" w:rsidR="00F92AB9" w:rsidRDefault="00F92AB9" w:rsidP="00F92AB9">
      <w:pPr>
        <w:pStyle w:val="NoSpacing"/>
        <w:spacing w:after="120"/>
        <w:rPr>
          <w:rFonts w:ascii="Times New Roman" w:hAnsi="Times New Roman" w:cs="Times New Roman"/>
        </w:rPr>
      </w:pPr>
      <w:r>
        <w:rPr>
          <w:rFonts w:ascii="Times New Roman" w:hAnsi="Times New Roman" w:cs="Times New Roman"/>
          <w:b/>
          <w:bCs/>
        </w:rPr>
        <w:t xml:space="preserve">Empirical Strategy </w:t>
      </w:r>
      <w:r>
        <w:rPr>
          <w:rFonts w:ascii="Times New Roman" w:hAnsi="Times New Roman" w:cs="Times New Roman"/>
        </w:rPr>
        <w:t>I will employ the Longitudinal Employer-Household Dynamics (LEHD) data at the Census Bureau to answer this question. The Transit Costs Project (TCP), a project funded by the NYU Marron Institute of Urban Management, has compiled a database of new and completed transit projects around the world from the last two decades. Beginning with this database and adding to it myself, I have identified 21 U.S.-based projects featuring a total of 187 station openings across 10 cities. I will identify individuals in the LEHD who live near these stations and analyze their labor market outcomes before and after the station openings.</w:t>
      </w:r>
    </w:p>
    <w:p w14:paraId="46655319" w14:textId="12F99680" w:rsidR="00F92AB9" w:rsidRDefault="00F92AB9" w:rsidP="00F92AB9">
      <w:pPr>
        <w:pStyle w:val="NoSpacing"/>
        <w:spacing w:after="120"/>
        <w:rPr>
          <w:rFonts w:ascii="Times New Roman" w:hAnsi="Times New Roman" w:cs="Times New Roman"/>
        </w:rPr>
      </w:pPr>
      <w:r>
        <w:rPr>
          <w:rFonts w:ascii="Times New Roman" w:hAnsi="Times New Roman" w:cs="Times New Roman"/>
        </w:rPr>
        <w:t>With that said, there are a number of anticipatory effects which come into play with regard to rail projects. In their 2004 paper, McMillen and McDonald demonstrate that “the housing market [surrounding the area of Chicago’s orange line] anticipated the opening of the line,” (McMillen and McDonald). In the same way, workers may adjust to the news of a new train station in the neighborhood by moving into or out of the neighborhood – while higher-income individuals may migrate into the area, lower-income residents may be priced out</w:t>
      </w:r>
      <w:r w:rsidR="00846C87">
        <w:rPr>
          <w:rFonts w:ascii="Times New Roman" w:hAnsi="Times New Roman" w:cs="Times New Roman"/>
        </w:rPr>
        <w:t xml:space="preserve"> by the same dynamics which cause the change in the housing market identified by McMillen and McDonald</w:t>
      </w:r>
      <w:r>
        <w:rPr>
          <w:rFonts w:ascii="Times New Roman" w:hAnsi="Times New Roman" w:cs="Times New Roman"/>
        </w:rPr>
        <w:t>. Similarly, employers may adjust to newfound mobility in areas surrounding new stations – proximity to a rail line could be considered an employee benefit, for example, so a new business may choose to open their headquarters in the area following a station opening.</w:t>
      </w:r>
    </w:p>
    <w:p w14:paraId="3831D307" w14:textId="77777777" w:rsidR="00F92AB9" w:rsidRDefault="00F92AB9" w:rsidP="00F92AB9">
      <w:pPr>
        <w:pStyle w:val="NoSpacing"/>
        <w:spacing w:after="120"/>
        <w:rPr>
          <w:rFonts w:ascii="Times New Roman" w:hAnsi="Times New Roman" w:cs="Times New Roman"/>
        </w:rPr>
      </w:pPr>
      <w:r>
        <w:rPr>
          <w:rFonts w:ascii="Times New Roman" w:hAnsi="Times New Roman" w:cs="Times New Roman"/>
        </w:rPr>
        <w:t xml:space="preserve">As a result, neighborhood dynamics will be in flux after the announcement of the opening of a train line for reasons beyond the increased mobility of incumbent residents. A comparison of residents of a given neighborhood before and after the introduction of a transit line would result in an incomplete measure of the line’s effect, as we would not be able to measure its effect on those residents who moved out of the area after its introduction. Further, a comparison across neighborhoods while allowing the existence of transit to vary would rely on an imperfect control group. The allocation of transit projects to particular neighborhoods is not random, so such a comparison would not be able to account for neighborhood characteristics that make these areas likely to receive transit projects. </w:t>
      </w:r>
    </w:p>
    <w:p w14:paraId="6A79916D" w14:textId="77777777" w:rsidR="00F92AB9" w:rsidRDefault="00F92AB9" w:rsidP="00F92AB9">
      <w:pPr>
        <w:pStyle w:val="NoSpacing"/>
        <w:spacing w:after="120"/>
        <w:rPr>
          <w:rFonts w:ascii="Times New Roman" w:hAnsi="Times New Roman" w:cs="Times New Roman"/>
        </w:rPr>
      </w:pPr>
      <w:commentRangeStart w:id="0"/>
      <w:r>
        <w:rPr>
          <w:rFonts w:ascii="Times New Roman" w:hAnsi="Times New Roman" w:cs="Times New Roman"/>
        </w:rPr>
        <w:t>In order to control for these anticipatory effects</w:t>
      </w:r>
      <w:commentRangeEnd w:id="0"/>
      <w:r>
        <w:rPr>
          <w:rStyle w:val="CommentReference"/>
          <w:rFonts w:ascii="Times New Roman" w:hAnsi="Times New Roman" w:cs="Times New Roman"/>
          <w:sz w:val="22"/>
          <w:szCs w:val="22"/>
        </w:rPr>
        <w:commentReference w:id="0"/>
      </w:r>
      <w:r>
        <w:rPr>
          <w:rFonts w:ascii="Times New Roman" w:hAnsi="Times New Roman" w:cs="Times New Roman"/>
        </w:rPr>
        <w:t xml:space="preserve">, I will leverage the variation in delays to station openings. Any transit project which receives federal funds has to complete an environmental impact statement for </w:t>
      </w:r>
      <w:r>
        <w:rPr>
          <w:rFonts w:ascii="Times New Roman" w:hAnsi="Times New Roman" w:cs="Times New Roman"/>
        </w:rPr>
        <w:lastRenderedPageBreak/>
        <w:t xml:space="preserve">submission to the Environmental Protection Agency – delays resulting from this process are common and vary widely in length. Other delays may result from environmental factors like severe </w:t>
      </w:r>
      <w:proofErr w:type="gramStart"/>
      <w:r>
        <w:rPr>
          <w:rFonts w:ascii="Times New Roman" w:hAnsi="Times New Roman" w:cs="Times New Roman"/>
        </w:rPr>
        <w:t>weather;</w:t>
      </w:r>
      <w:proofErr w:type="gramEnd"/>
      <w:r>
        <w:rPr>
          <w:rFonts w:ascii="Times New Roman" w:hAnsi="Times New Roman" w:cs="Times New Roman"/>
        </w:rPr>
        <w:t xml:space="preserve"> or from political factors like local and state-wide elections. While nearly every transit-related construction project will likely be delayed for some period of time, the length of these delays will vary nearly randomly and have little to do with a resident’s mobility. </w:t>
      </w:r>
      <w:commentRangeStart w:id="1"/>
      <w:r>
        <w:rPr>
          <w:rFonts w:ascii="Times New Roman" w:hAnsi="Times New Roman" w:cs="Times New Roman"/>
        </w:rPr>
        <w:t>I will take advantage of this exogenous variation to compare individuals in neighborhoods with an announced station opening to individuals in neighborhoods close to successful station openings.</w:t>
      </w:r>
      <w:commentRangeEnd w:id="1"/>
      <w:r>
        <w:rPr>
          <w:rStyle w:val="CommentReference"/>
          <w:rFonts w:ascii="Times New Roman" w:hAnsi="Times New Roman" w:cs="Times New Roman"/>
          <w:sz w:val="22"/>
          <w:szCs w:val="22"/>
        </w:rPr>
        <w:commentReference w:id="1"/>
      </w:r>
      <w:r>
        <w:rPr>
          <w:rFonts w:ascii="Times New Roman" w:hAnsi="Times New Roman" w:cs="Times New Roman"/>
        </w:rPr>
        <w:t xml:space="preserve"> In doing so, I will be able to hold fixed the fact that both residents come from neighborhoods chosen for transit projects, and simply vary the time at which they get physical access to new transit. </w:t>
      </w:r>
    </w:p>
    <w:p w14:paraId="54CCF34A" w14:textId="77777777" w:rsidR="00F92AB9" w:rsidRDefault="00F92AB9" w:rsidP="00F92AB9">
      <w:pPr>
        <w:pStyle w:val="NoSpacing"/>
        <w:spacing w:after="120"/>
        <w:rPr>
          <w:rFonts w:ascii="Times New Roman" w:hAnsi="Times New Roman" w:cs="Times New Roman"/>
        </w:rPr>
      </w:pPr>
      <w:commentRangeStart w:id="2"/>
      <w:r>
        <w:rPr>
          <w:rFonts w:ascii="Times New Roman" w:hAnsi="Times New Roman" w:cs="Times New Roman"/>
        </w:rPr>
        <w:t xml:space="preserve">I will create a time index in relation to when a given station opening was announced and when it actually opened. </w:t>
      </w:r>
      <w:commentRangeEnd w:id="2"/>
      <w:r>
        <w:rPr>
          <w:rStyle w:val="CommentReference"/>
          <w:rFonts w:ascii="Times New Roman" w:hAnsi="Times New Roman" w:cs="Times New Roman"/>
          <w:sz w:val="22"/>
          <w:szCs w:val="22"/>
        </w:rPr>
        <w:commentReference w:id="2"/>
      </w:r>
      <w:r>
        <w:rPr>
          <w:rFonts w:ascii="Times New Roman" w:hAnsi="Times New Roman" w:cs="Times New Roman"/>
        </w:rPr>
        <w:t xml:space="preserve">After controlling for relevant neighborhood- and worker-level characteristics, the length of these delays will be exogenous to the larger labor market. I will then control for time between the initial construction announcement and the opening of the station.  </w:t>
      </w:r>
    </w:p>
    <w:p w14:paraId="559E3EEA" w14:textId="77777777" w:rsidR="00F92AB9" w:rsidRDefault="00F92AB9" w:rsidP="00F92AB9">
      <w:pPr>
        <w:pStyle w:val="NoSpacing"/>
        <w:spacing w:after="120"/>
        <w:rPr>
          <w:rFonts w:ascii="Times New Roman" w:eastAsiaTheme="minorEastAsia" w:hAnsi="Times New Roman" w:cs="Times New Roman"/>
        </w:rPr>
      </w:pPr>
      <w:r>
        <w:rPr>
          <w:rFonts w:ascii="Times New Roman" w:hAnsi="Times New Roman" w:cs="Times New Roman"/>
        </w:rPr>
        <w:t xml:space="preserve">I will then execute an event study with a difference-in-differences analysis which takes advantage of the exogenous nature of the time delays, estimating the difference in labor market outcomes of individuals living near stations that opened on time (or with limited delay) to individuals living in areas with stations that have been significantly delayed. I will regress wages of individuals in neighborhood </w:t>
      </w:r>
      <m:oMath>
        <m:r>
          <w:rPr>
            <w:rFonts w:ascii="Cambria Math" w:hAnsi="Cambria Math" w:cs="Times New Roman"/>
          </w:rPr>
          <m:t>j</m:t>
        </m:r>
      </m:oMath>
      <w:r>
        <w:rPr>
          <w:rFonts w:ascii="Times New Roman" w:eastAsiaTheme="minorEastAsia" w:hAnsi="Times New Roman" w:cs="Times New Roman"/>
        </w:rPr>
        <w:t xml:space="preserve"> during period </w:t>
      </w:r>
      <m:oMath>
        <m:r>
          <w:rPr>
            <w:rFonts w:ascii="Cambria Math" w:eastAsiaTheme="minorEastAsia" w:hAnsi="Cambria Math" w:cs="Times New Roman"/>
          </w:rPr>
          <m:t>i</m:t>
        </m:r>
      </m:oMath>
      <w:r>
        <w:rPr>
          <w:rFonts w:ascii="Times New Roman" w:eastAsiaTheme="minorEastAsia" w:hAnsi="Times New Roman" w:cs="Times New Roman"/>
        </w:rPr>
        <w:t xml:space="preserve"> on the interaction of the status of the proposed station and indexed time effect. I will </w:t>
      </w:r>
      <w:r>
        <w:rPr>
          <w:rFonts w:ascii="Times New Roman" w:hAnsi="Times New Roman" w:cs="Times New Roman"/>
        </w:rPr>
        <w:t>control for state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year fixed effects.</w:t>
      </w:r>
    </w:p>
    <w:p w14:paraId="32E07977" w14:textId="77777777" w:rsidR="00F92AB9" w:rsidRDefault="00F92AB9" w:rsidP="00F92AB9">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=PostOpen*</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θ</m:t>
              </m:r>
              <m:ctrlPr>
                <w:rPr>
                  <w:rFonts w:ascii="Cambria Math" w:eastAsiaTheme="minorEastAsia" w:hAnsi="Cambria Math" w:cs="Times New Roman"/>
                  <w:i/>
                </w:rPr>
              </m:ctrlPr>
            </m:e>
            <m:sub>
              <m:r>
                <m:rPr>
                  <m:sty m:val="p"/>
                </m:rP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68A097A1" w14:textId="77777777" w:rsidR="00F92AB9" w:rsidRDefault="00F92AB9" w:rsidP="00F92AB9">
      <w:pPr>
        <w:pStyle w:val="NoSpacing"/>
        <w:spacing w:after="120"/>
        <w:rPr>
          <w:rFonts w:ascii="Times New Roman" w:hAnsi="Times New Roman" w:cs="Times New Roman"/>
          <w:b/>
        </w:rPr>
      </w:pPr>
      <w:r>
        <w:rPr>
          <w:rFonts w:ascii="Times New Roman" w:hAnsi="Times New Roman" w:cs="Times New Roman"/>
          <w:b/>
        </w:rPr>
        <w:t xml:space="preserve">Intellectual Merit </w:t>
      </w:r>
      <w:r>
        <w:rPr>
          <w:rFonts w:ascii="Times New Roman" w:hAnsi="Times New Roman" w:cs="Times New Roman"/>
        </w:rPr>
        <w:t xml:space="preserve">Novel empirical approach: In my review of related papers, I am the first researcher to propose exploiting variation in delays in order to identify transit effects on workers. </w:t>
      </w:r>
    </w:p>
    <w:p w14:paraId="73E5EDAD" w14:textId="77777777" w:rsidR="00F92AB9" w:rsidRDefault="00F92AB9" w:rsidP="00F92AB9">
      <w:pPr>
        <w:pStyle w:val="NoSpacing"/>
        <w:spacing w:after="120"/>
        <w:rPr>
          <w:rFonts w:ascii="Times New Roman" w:hAnsi="Times New Roman" w:cs="Times New Roman"/>
        </w:rPr>
      </w:pPr>
      <w:r>
        <w:rPr>
          <w:rFonts w:ascii="Times New Roman" w:hAnsi="Times New Roman" w:cs="Times New Roman"/>
        </w:rPr>
        <w:t>While previous papers have focused on the impact of transit on neighborhood-wide employment, this approach assumes that neighborhood dynamics post-transit are solely the result of transit projects and not exogenous neighborhood dynamics. In doing so, these papers combine individual effects with the aforementioned sorting effects which will result after the announcement of a transit project.  In focusing on individual wage effects, I will be able to control for whether observed individuals are new to the affected area or are incumbent residents, thereby introducing an additional tool for analyzing transit effects on local residents. I will be able to measure the additional utility which residents gain rather than attempting to quantify the utility “gained” by a neighborhood – which is a weak approximation of individual utility.</w:t>
      </w:r>
    </w:p>
    <w:p w14:paraId="56DBFF28" w14:textId="77777777" w:rsidR="00F92AB9" w:rsidRDefault="00F92AB9" w:rsidP="00F92AB9">
      <w:pPr>
        <w:pStyle w:val="NoSpacing"/>
        <w:spacing w:after="120"/>
        <w:rPr>
          <w:rFonts w:ascii="Times New Roman" w:hAnsi="Times New Roman" w:cs="Times New Roman"/>
          <w:b/>
        </w:rPr>
      </w:pPr>
      <w:r>
        <w:rPr>
          <w:rFonts w:ascii="Times New Roman" w:hAnsi="Times New Roman" w:cs="Times New Roman"/>
          <w:b/>
        </w:rPr>
        <w:t xml:space="preserve">Broader Impacts </w:t>
      </w:r>
      <w:r>
        <w:rPr>
          <w:rFonts w:ascii="Times New Roman" w:hAnsi="Times New Roman" w:cs="Times New Roman"/>
        </w:rPr>
        <w:t xml:space="preserve">My empirical strategy allows me to analyze the effects of transit policies in a way that avoids the pitfalls of focusing on neighborhood-level results. In focusing on the labor dynamics of a spatial area, it is possible to lose observed residents who move away – often because they are being pushed out. In focusing on individual-level results, I am able to retain these individuals in my sample using the LEHD and am likely to be able to have more leverage for measuring the effects of these policies particularly on low-income and marginalized populations – which tend to be those which are lost in similar studies which focus on neighborhoods rather than the individual. </w:t>
      </w:r>
    </w:p>
    <w:p w14:paraId="078407CD" w14:textId="77777777" w:rsidR="00DA1B16" w:rsidRPr="00064546" w:rsidRDefault="00DA1B16" w:rsidP="00DA1B16">
      <w:pPr>
        <w:pStyle w:val="NoSpacing"/>
        <w:rPr>
          <w:rFonts w:ascii="Times New Roman" w:hAnsi="Times New Roman" w:cs="Times New Roman"/>
          <w:b/>
          <w:bCs/>
        </w:rPr>
      </w:pPr>
    </w:p>
    <w:p w14:paraId="28A74FF0" w14:textId="77777777" w:rsidR="00DA1B16" w:rsidRPr="00064546" w:rsidRDefault="00DA1B16" w:rsidP="00DA1B16">
      <w:pPr>
        <w:pStyle w:val="NoSpacing"/>
        <w:rPr>
          <w:rFonts w:ascii="Times New Roman" w:hAnsi="Times New Roman" w:cs="Times New Roman"/>
        </w:rPr>
      </w:pPr>
      <w:r w:rsidRPr="00064546">
        <w:rPr>
          <w:rFonts w:ascii="Times New Roman" w:hAnsi="Times New Roman" w:cs="Times New Roman"/>
          <w:b/>
        </w:rPr>
        <w:t>References</w:t>
      </w:r>
      <w:r w:rsidRPr="00064546">
        <w:rPr>
          <w:rFonts w:ascii="Times New Roman" w:hAnsi="Times New Roman" w:cs="Times New Roman"/>
        </w:rPr>
        <w:t>.</w:t>
      </w:r>
    </w:p>
    <w:p w14:paraId="35B2842E" w14:textId="77777777" w:rsidR="00DA1B16" w:rsidRDefault="00DA1B16" w:rsidP="00DA1B16">
      <w:pPr>
        <w:pStyle w:val="NoSpacing"/>
        <w:rPr>
          <w:rFonts w:ascii="Times New Roman" w:hAnsi="Times New Roman" w:cs="Times New Roman"/>
          <w:b/>
          <w:bCs/>
          <w:color w:val="000000"/>
          <w:u w:val="single"/>
        </w:rPr>
      </w:pPr>
      <w:r w:rsidRPr="00064546">
        <w:rPr>
          <w:rFonts w:ascii="Times New Roman" w:hAnsi="Times New Roman" w:cs="Times New Roman"/>
        </w:rPr>
        <w:t xml:space="preserve">Times New Roman, 11-pt., single-spaced.  </w:t>
      </w:r>
      <w:r w:rsidRPr="00064546">
        <w:rPr>
          <w:rFonts w:ascii="Times New Roman" w:hAnsi="Times New Roman" w:cs="Times New Roman"/>
          <w:b/>
          <w:bCs/>
          <w:u w:val="single"/>
        </w:rPr>
        <w:t>Remove all of this instructional text BEFORE you input your statement</w:t>
      </w:r>
      <w:r w:rsidRPr="00064546">
        <w:rPr>
          <w:rFonts w:ascii="Times New Roman" w:hAnsi="Times New Roman" w:cs="Times New Roman"/>
          <w:b/>
          <w:bCs/>
          <w:color w:val="000000"/>
          <w:u w:val="single"/>
        </w:rPr>
        <w:t>.</w:t>
      </w:r>
    </w:p>
    <w:p w14:paraId="1C85A8F6" w14:textId="77777777" w:rsidR="00DA1B16" w:rsidRDefault="00DA1B16" w:rsidP="00DA1B16">
      <w:pPr>
        <w:pStyle w:val="NoSpacing"/>
        <w:rPr>
          <w:rFonts w:ascii="Times New Roman" w:hAnsi="Times New Roman" w:cs="Times New Roman"/>
          <w:b/>
          <w:bCs/>
          <w:color w:val="000000"/>
          <w:u w:val="single"/>
        </w:rPr>
      </w:pPr>
    </w:p>
    <w:p w14:paraId="4EAFAD73" w14:textId="77777777" w:rsidR="00DA1B16" w:rsidRDefault="00DA1B16" w:rsidP="00DA1B16">
      <w:pPr>
        <w:pStyle w:val="NoSpacing"/>
        <w:rPr>
          <w:rFonts w:ascii="Times New Roman" w:hAnsi="Times New Roman" w:cs="Times New Roman"/>
          <w:b/>
          <w:bCs/>
          <w:color w:val="000000"/>
          <w:u w:val="single"/>
        </w:rPr>
      </w:pPr>
    </w:p>
    <w:p w14:paraId="449DE493" w14:textId="77777777" w:rsidR="00DA1B16" w:rsidRDefault="00DA1B16" w:rsidP="00DA1B16">
      <w:pPr>
        <w:pStyle w:val="NoSpacing"/>
        <w:rPr>
          <w:rFonts w:ascii="Times New Roman" w:hAnsi="Times New Roman" w:cs="Times New Roman"/>
          <w:b/>
          <w:bCs/>
          <w:color w:val="000000"/>
          <w:u w:val="single"/>
        </w:rPr>
      </w:pPr>
    </w:p>
    <w:p w14:paraId="7856C666" w14:textId="77777777" w:rsidR="00DA1B16" w:rsidRDefault="00DA1B16" w:rsidP="00DA1B16">
      <w:pPr>
        <w:pStyle w:val="NoSpacing"/>
        <w:rPr>
          <w:rFonts w:ascii="Times New Roman" w:hAnsi="Times New Roman" w:cs="Times New Roman"/>
          <w:b/>
          <w:bCs/>
          <w:color w:val="000000"/>
          <w:u w:val="single"/>
        </w:rPr>
      </w:pPr>
    </w:p>
    <w:p w14:paraId="34061F95" w14:textId="77777777" w:rsidR="00DA1B16" w:rsidRPr="00064546" w:rsidRDefault="00DA1B16" w:rsidP="00DA1B16">
      <w:pPr>
        <w:pStyle w:val="NoSpacing"/>
        <w:rPr>
          <w:rFonts w:ascii="Times New Roman" w:hAnsi="Times New Roman" w:cs="Times New Roman"/>
        </w:rPr>
      </w:pPr>
    </w:p>
    <w:p w14:paraId="2E961F90" w14:textId="77777777" w:rsidR="002C6718" w:rsidRPr="00DA1B16" w:rsidRDefault="002C6718" w:rsidP="00DA1B16"/>
    <w:sectPr w:rsidR="002C6718" w:rsidRPr="00DA1B16">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6-21T14:10:00Z" w:initials="DR">
    <w:p w14:paraId="50D87E5E" w14:textId="77777777" w:rsidR="00F92AB9" w:rsidRDefault="00F92AB9" w:rsidP="00F92AB9">
      <w:pPr>
        <w:pStyle w:val="CommentText"/>
      </w:pPr>
      <w:r>
        <w:rPr>
          <w:rStyle w:val="CommentReference"/>
        </w:rPr>
        <w:annotationRef/>
      </w:r>
      <w:r>
        <w:t>Before you get to your solution, you need to explain what problems these anticipatory effects cause for estimation.  Why does it mean you can’t just compare the same neighborhood before and after, or compare neighborhoods that got a new station to those that didn’t?</w:t>
      </w:r>
    </w:p>
  </w:comment>
  <w:comment w:id="1" w:author="Daniel Ringo" w:date="2023-06-21T14:11:00Z" w:initials="DR">
    <w:p w14:paraId="1C74B803" w14:textId="77777777" w:rsidR="00F92AB9" w:rsidRDefault="00F92AB9" w:rsidP="00F92AB9">
      <w:pPr>
        <w:pStyle w:val="CommentText"/>
      </w:pPr>
      <w:r>
        <w:rPr>
          <w:rStyle w:val="CommentReference"/>
        </w:rPr>
        <w:annotationRef/>
      </w:r>
      <w:r>
        <w:t>Describe the quasi-experimental variation you are exploiting first, rather than laying out mechanically how your estimator works and only then explaining why this gives you as-good-as-random variation.  You don’t want the reader guessing what you are trying to do, or why your estimator solves the problem.  You are exploiting exogenous variation in station opening caused by construction delays, isolating the effect of increased mobility by comparing residents of neighborhoods that experience similar anticipatory effects but that had differently timed actual access to transit.</w:t>
      </w:r>
    </w:p>
  </w:comment>
  <w:comment w:id="2" w:author="Daniel Ringo" w:date="2023-06-21T14:24:00Z" w:initials="DR">
    <w:p w14:paraId="44C41917" w14:textId="77777777" w:rsidR="00F92AB9" w:rsidRDefault="00F92AB9" w:rsidP="00F92AB9">
      <w:pPr>
        <w:pStyle w:val="CommentText"/>
      </w:pPr>
      <w:r>
        <w:rPr>
          <w:rStyle w:val="CommentReference"/>
        </w:rPr>
        <w:annotationRef/>
      </w:r>
      <w:r>
        <w:t>Creating two time indices does not immediately lead you to having exploited random variation.  You need to describe what you plan to do: control for time since/until original announced opening, and compare incumbent residents of neighborhoods where the stations were and were not actually operating, thereby exploiting random variation in the construction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D87E5E" w15:done="1"/>
  <w15:commentEx w15:paraId="1C74B803" w15:done="1"/>
  <w15:commentEx w15:paraId="44C419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944C" w16cex:dateUtc="2023-07-20T15:08:00Z"/>
  <w16cex:commentExtensible w16cex:durableId="2863944D" w16cex:dateUtc="2023-07-20T15:08:00Z"/>
  <w16cex:commentExtensible w16cex:durableId="2863944E" w16cex:dateUtc="2023-07-20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D87E5E" w16cid:durableId="2863944C"/>
  <w16cid:commentId w16cid:paraId="1C74B803" w16cid:durableId="2863944D"/>
  <w16cid:commentId w16cid:paraId="44C41917" w16cid:durableId="286394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BFCA0" w14:textId="77777777" w:rsidR="00D11506" w:rsidRDefault="00D11506" w:rsidP="009E0BD5">
      <w:pPr>
        <w:spacing w:after="0" w:line="240" w:lineRule="auto"/>
      </w:pPr>
      <w:r>
        <w:separator/>
      </w:r>
    </w:p>
  </w:endnote>
  <w:endnote w:type="continuationSeparator" w:id="0">
    <w:p w14:paraId="50F00CA6" w14:textId="77777777" w:rsidR="00D11506" w:rsidRDefault="00D11506" w:rsidP="009E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758D1" w14:textId="77777777" w:rsidR="00D11506" w:rsidRDefault="00D11506" w:rsidP="009E0BD5">
      <w:pPr>
        <w:spacing w:after="0" w:line="240" w:lineRule="auto"/>
      </w:pPr>
      <w:r>
        <w:separator/>
      </w:r>
    </w:p>
  </w:footnote>
  <w:footnote w:type="continuationSeparator" w:id="0">
    <w:p w14:paraId="653D1ED2" w14:textId="77777777" w:rsidR="00D11506" w:rsidRDefault="00D11506" w:rsidP="009E0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C46" w14:textId="298FC09B" w:rsidR="00000000" w:rsidRDefault="009E0BD5">
    <w:pPr>
      <w:pStyle w:val="Header"/>
    </w:pPr>
    <w:r>
      <w:rPr>
        <w:noProof/>
      </w:rPr>
      <mc:AlternateContent>
        <mc:Choice Requires="wps">
          <w:drawing>
            <wp:anchor distT="0" distB="0" distL="114300" distR="114300" simplePos="0" relativeHeight="251659264" behindDoc="0" locked="0" layoutInCell="0" allowOverlap="1" wp14:anchorId="0ADCCDEF" wp14:editId="6B4E31F4">
              <wp:simplePos x="0" y="0"/>
              <wp:positionH relativeFrom="page">
                <wp:posOffset>0</wp:posOffset>
              </wp:positionH>
              <wp:positionV relativeFrom="page">
                <wp:posOffset>190500</wp:posOffset>
              </wp:positionV>
              <wp:extent cx="7772400" cy="273050"/>
              <wp:effectExtent l="0" t="0" r="0" b="12700"/>
              <wp:wrapNone/>
              <wp:docPr id="2" name="MSIPCM7a8e4f2fb8a5f17ab2a2a420"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ADCCDEF" id="_x0000_t202" coordsize="21600,21600" o:spt="202" path="m,l,21600r21600,l21600,xe">
              <v:stroke joinstyle="miter"/>
              <v:path gradientshapeok="t" o:connecttype="rect"/>
            </v:shapetype>
            <v:shape id="MSIPCM7a8e4f2fb8a5f17ab2a2a420"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812D6"/>
    <w:multiLevelType w:val="hybridMultilevel"/>
    <w:tmpl w:val="D9A88472"/>
    <w:lvl w:ilvl="0" w:tplc="39A85A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1301542">
    <w:abstractNumId w:val="0"/>
  </w:num>
  <w:num w:numId="2" w16cid:durableId="506603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D5"/>
    <w:rsid w:val="00023703"/>
    <w:rsid w:val="001D18F2"/>
    <w:rsid w:val="00292A05"/>
    <w:rsid w:val="00292CF9"/>
    <w:rsid w:val="002A6D94"/>
    <w:rsid w:val="002C6718"/>
    <w:rsid w:val="002E0FBE"/>
    <w:rsid w:val="00482F4F"/>
    <w:rsid w:val="004B6E3F"/>
    <w:rsid w:val="004F6C30"/>
    <w:rsid w:val="00520F43"/>
    <w:rsid w:val="00846C87"/>
    <w:rsid w:val="0088434D"/>
    <w:rsid w:val="009A0349"/>
    <w:rsid w:val="009E0BD5"/>
    <w:rsid w:val="00A9488B"/>
    <w:rsid w:val="00D11506"/>
    <w:rsid w:val="00DA1B16"/>
    <w:rsid w:val="00DD11D0"/>
    <w:rsid w:val="00DD753D"/>
    <w:rsid w:val="00E67B82"/>
    <w:rsid w:val="00E839BC"/>
    <w:rsid w:val="00F60E29"/>
    <w:rsid w:val="00F92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C9B"/>
  <w15:chartTrackingRefBased/>
  <w15:docId w15:val="{2C5173FD-0311-477E-958D-5A607159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B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BD5"/>
    <w:pPr>
      <w:ind w:left="720"/>
      <w:contextualSpacing/>
    </w:pPr>
  </w:style>
  <w:style w:type="paragraph" w:styleId="Header">
    <w:name w:val="header"/>
    <w:basedOn w:val="Normal"/>
    <w:link w:val="HeaderChar"/>
    <w:uiPriority w:val="99"/>
    <w:unhideWhenUsed/>
    <w:rsid w:val="009E0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BD5"/>
  </w:style>
  <w:style w:type="paragraph" w:styleId="Bibliography">
    <w:name w:val="Bibliography"/>
    <w:basedOn w:val="Normal"/>
    <w:next w:val="Normal"/>
    <w:uiPriority w:val="37"/>
    <w:unhideWhenUsed/>
    <w:rsid w:val="009E0BD5"/>
    <w:pPr>
      <w:spacing w:after="0" w:line="480" w:lineRule="auto"/>
      <w:ind w:left="720" w:hanging="720"/>
    </w:pPr>
  </w:style>
  <w:style w:type="character" w:styleId="CommentReference">
    <w:name w:val="annotation reference"/>
    <w:basedOn w:val="DefaultParagraphFont"/>
    <w:uiPriority w:val="99"/>
    <w:semiHidden/>
    <w:unhideWhenUsed/>
    <w:rsid w:val="009E0BD5"/>
    <w:rPr>
      <w:sz w:val="16"/>
      <w:szCs w:val="16"/>
    </w:rPr>
  </w:style>
  <w:style w:type="paragraph" w:styleId="CommentText">
    <w:name w:val="annotation text"/>
    <w:basedOn w:val="Normal"/>
    <w:link w:val="CommentTextChar"/>
    <w:uiPriority w:val="99"/>
    <w:semiHidden/>
    <w:unhideWhenUsed/>
    <w:rsid w:val="009E0BD5"/>
    <w:pPr>
      <w:spacing w:line="240" w:lineRule="auto"/>
    </w:pPr>
    <w:rPr>
      <w:sz w:val="20"/>
      <w:szCs w:val="20"/>
    </w:rPr>
  </w:style>
  <w:style w:type="character" w:customStyle="1" w:styleId="CommentTextChar">
    <w:name w:val="Comment Text Char"/>
    <w:basedOn w:val="DefaultParagraphFont"/>
    <w:link w:val="CommentText"/>
    <w:uiPriority w:val="99"/>
    <w:semiHidden/>
    <w:rsid w:val="009E0BD5"/>
    <w:rPr>
      <w:sz w:val="20"/>
      <w:szCs w:val="20"/>
    </w:rPr>
  </w:style>
  <w:style w:type="paragraph" w:styleId="Footer">
    <w:name w:val="footer"/>
    <w:basedOn w:val="Normal"/>
    <w:link w:val="FooterChar"/>
    <w:uiPriority w:val="99"/>
    <w:unhideWhenUsed/>
    <w:rsid w:val="009E0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BD5"/>
  </w:style>
  <w:style w:type="paragraph" w:styleId="NoSpacing">
    <w:name w:val="No Spacing"/>
    <w:uiPriority w:val="1"/>
    <w:qFormat/>
    <w:rsid w:val="00DA1B16"/>
    <w:pPr>
      <w:spacing w:after="0" w:line="240" w:lineRule="auto"/>
    </w:pPr>
  </w:style>
  <w:style w:type="character" w:styleId="Hyperlink">
    <w:name w:val="Hyperlink"/>
    <w:basedOn w:val="DefaultParagraphFont"/>
    <w:uiPriority w:val="99"/>
    <w:unhideWhenUsed/>
    <w:rsid w:val="00023703"/>
    <w:rPr>
      <w:color w:val="0563C1" w:themeColor="hyperlink"/>
      <w:u w:val="single"/>
    </w:rPr>
  </w:style>
  <w:style w:type="character" w:styleId="UnresolvedMention">
    <w:name w:val="Unresolved Mention"/>
    <w:basedOn w:val="DefaultParagraphFont"/>
    <w:uiPriority w:val="99"/>
    <w:semiHidden/>
    <w:unhideWhenUsed/>
    <w:rsid w:val="00023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pta.com/wp-content/uploads/Resources/resources/reportsandpublications/Documents/APTA-Who-Rides-Public-Transportation-2017.pdf"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nfrastructurereportcard.org/wp-content/uploads/2020/12/Transit-2021.pdf" TargetMode="Externa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3</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9</cp:revision>
  <dcterms:created xsi:type="dcterms:W3CDTF">2023-07-17T17:34:00Z</dcterms:created>
  <dcterms:modified xsi:type="dcterms:W3CDTF">2023-07-20T23:44:00Z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2c0ddfdc-c499-476d-9b7b-6ef3513fb5ad</vt:lpwstr>
  </property>
  <property fmtid="{D5CDD505-2E9C-101B-9397-08002B2CF9AE}" pid="3" name="MSIP_Label_020c9e8b-b879-4ade-97ac-60b9c2bff5e3_Enabled">
    <vt:lpwstr>true</vt:lpwstr>
  </property>
  <property fmtid="{D5CDD505-2E9C-101B-9397-08002B2CF9AE}" pid="4" name="MSIP_Label_020c9e8b-b879-4ade-97ac-60b9c2bff5e3_SetDate">
    <vt:lpwstr>2023-07-20T22:13:31Z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4b37bafd-d8a9-4aa3-a655-73e192d16583</vt:lpwstr>
  </property>
  <property fmtid="{D5CDD505-2E9C-101B-9397-08002B2CF9AE}" pid="9" name="MSIP_Label_020c9e8b-b879-4ade-97ac-60b9c2bff5e3_ContentBits">
    <vt:lpwstr>1</vt:lpwstr>
  </property>
</Properties>
</file>