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20DFB9" w14:textId="77777777" w:rsidR="009E4469" w:rsidRPr="009E4469" w:rsidRDefault="009E4469" w:rsidP="009E4469">
      <w:pPr>
        <w:rPr>
          <w:rFonts w:ascii="Times New Roman" w:eastAsia="Times New Roman" w:hAnsi="Times New Roman" w:cs="Times New Roman"/>
        </w:rPr>
      </w:pPr>
      <w:r w:rsidRPr="009E4469">
        <w:rPr>
          <w:rFonts w:ascii="Verdana" w:eastAsia="Times New Roman" w:hAnsi="Verdana" w:cs="Times New Roman"/>
          <w:color w:val="5A5A5A"/>
          <w:sz w:val="23"/>
          <w:szCs w:val="23"/>
        </w:rPr>
        <w:t>Complete applications will include a one-page proposal describing the research question to be investigated, rationale, proposed plan, and justification for amount requested (11 pt font, 0.5” margins), and a brief letter from the core facility director attesting to the availability of the proposed technical service. Applications are limited to one per investigator, and only new applications will be considered.</w:t>
      </w:r>
    </w:p>
    <w:p w14:paraId="7633973E" w14:textId="77777777" w:rsidR="005610AD" w:rsidRDefault="004867CA"/>
    <w:p w14:paraId="343E19F7" w14:textId="77777777" w:rsidR="009E4469" w:rsidRDefault="009E4469">
      <w:r>
        <w:t>Research question</w:t>
      </w:r>
    </w:p>
    <w:p w14:paraId="4D76D6B2" w14:textId="77777777" w:rsidR="009E4469" w:rsidRDefault="009E4469"/>
    <w:p w14:paraId="63174CD1" w14:textId="77777777" w:rsidR="009E4469" w:rsidRDefault="009E4469" w:rsidP="009E4469">
      <w:pPr>
        <w:pStyle w:val="ListParagraph"/>
        <w:numPr>
          <w:ilvl w:val="0"/>
          <w:numId w:val="1"/>
        </w:numPr>
      </w:pPr>
      <w:r>
        <w:t xml:space="preserve">Meiotic recombination is a fundamental aspect of reproduction in sexual eukaryotes. </w:t>
      </w:r>
    </w:p>
    <w:p w14:paraId="0FEAEC2F" w14:textId="77777777" w:rsidR="009E4469" w:rsidRDefault="009E4469" w:rsidP="009E4469">
      <w:pPr>
        <w:pStyle w:val="ListParagraph"/>
        <w:numPr>
          <w:ilvl w:val="0"/>
          <w:numId w:val="1"/>
        </w:numPr>
      </w:pPr>
      <w:r>
        <w:t>Recombination shapes how evolution occurs, and can both promote and constrain many evolutionary processes.</w:t>
      </w:r>
    </w:p>
    <w:p w14:paraId="42737D06" w14:textId="77777777" w:rsidR="009E4469" w:rsidRDefault="009E4469" w:rsidP="009E4469">
      <w:pPr>
        <w:pStyle w:val="ListParagraph"/>
        <w:numPr>
          <w:ilvl w:val="0"/>
          <w:numId w:val="1"/>
        </w:numPr>
      </w:pPr>
      <w:r>
        <w:t>In spite of its fundamental importance, many aspects of our understanding of recombination remain unclear</w:t>
      </w:r>
    </w:p>
    <w:p w14:paraId="639020A0" w14:textId="708740B4" w:rsidR="00EC326E" w:rsidRDefault="00EC326E" w:rsidP="00EC326E">
      <w:pPr>
        <w:pStyle w:val="ListParagraph"/>
        <w:numPr>
          <w:ilvl w:val="0"/>
          <w:numId w:val="1"/>
        </w:numPr>
      </w:pPr>
      <w:r>
        <w:t>For example – rates of genome-wide recombination vary greatly amon</w:t>
      </w:r>
      <w:r w:rsidR="009E50AC">
        <w:t xml:space="preserve">g species and potentially among </w:t>
      </w:r>
      <w:r>
        <w:t>populations</w:t>
      </w:r>
      <w:r w:rsidR="009E50AC">
        <w:t xml:space="preserve"> and individuals</w:t>
      </w:r>
      <w:r>
        <w:t>.</w:t>
      </w:r>
      <w:r w:rsidR="009E50AC">
        <w:t xml:space="preserve"> </w:t>
      </w:r>
    </w:p>
    <w:p w14:paraId="2B4084F9" w14:textId="77777777" w:rsidR="009E4469" w:rsidRDefault="00794D3E" w:rsidP="00EC326E">
      <w:pPr>
        <w:pStyle w:val="ListParagraph"/>
        <w:numPr>
          <w:ilvl w:val="0"/>
          <w:numId w:val="1"/>
        </w:numPr>
      </w:pPr>
      <w:r>
        <w:t>Theory predicts that natural selection optimize rates of recombination – is this indeed the case?</w:t>
      </w:r>
    </w:p>
    <w:p w14:paraId="653A1F0B" w14:textId="3CA9C211" w:rsidR="00EC326E" w:rsidRDefault="00EC326E" w:rsidP="009E4469">
      <w:pPr>
        <w:pStyle w:val="ListParagraph"/>
        <w:numPr>
          <w:ilvl w:val="0"/>
          <w:numId w:val="1"/>
        </w:numPr>
      </w:pPr>
      <w:r>
        <w:t>The first step in testing this question is to understand the quantitative genetics of recombination rate.</w:t>
      </w:r>
      <w:r w:rsidR="009E50AC">
        <w:t xml:space="preserve"> Compared to other traits, the basic genetics of recombination rate variation are vastly understudied.</w:t>
      </w:r>
    </w:p>
    <w:p w14:paraId="01C5D9FE" w14:textId="0FCA266A" w:rsidR="009E4469" w:rsidRDefault="009E50AC" w:rsidP="009E4469">
      <w:pPr>
        <w:pStyle w:val="ListParagraph"/>
        <w:numPr>
          <w:ilvl w:val="0"/>
          <w:numId w:val="1"/>
        </w:numPr>
      </w:pPr>
      <w:r>
        <w:t>The primary reason for this is that quantifying recombination rate is difficult. Standardized genetic maps must be made from multiple individuals from multiple populations.</w:t>
      </w:r>
    </w:p>
    <w:p w14:paraId="724DB5D7" w14:textId="7E963C75" w:rsidR="009E50AC" w:rsidRDefault="009E50AC" w:rsidP="009E4469">
      <w:pPr>
        <w:pStyle w:val="ListParagraph"/>
        <w:numPr>
          <w:ilvl w:val="0"/>
          <w:numId w:val="1"/>
        </w:numPr>
      </w:pPr>
      <w:r>
        <w:t>We are currently undertaking a project to quantify the recombination rate in sixteen inbred lines of Drosophila pseudoobscura. These lines are unique in that they were recently inbred from wild populations, and thus contain a great deal of natural variation, including potential for recombination rate variation.</w:t>
      </w:r>
    </w:p>
    <w:p w14:paraId="641765E2" w14:textId="5083E938" w:rsidR="009E50AC" w:rsidRDefault="009E50AC" w:rsidP="009E4469">
      <w:pPr>
        <w:pStyle w:val="ListParagraph"/>
        <w:numPr>
          <w:ilvl w:val="0"/>
          <w:numId w:val="1"/>
        </w:numPr>
      </w:pPr>
      <w:r>
        <w:t xml:space="preserve">Constructing </w:t>
      </w:r>
      <w:r w:rsidR="00CF6013">
        <w:t xml:space="preserve">genetic maps requires crossing each line to a standardized “tester line”, intercrossing the resultant F1 offspring, and then mapping marker distances in the resulting </w:t>
      </w:r>
      <w:r w:rsidR="00F827E2">
        <w:t xml:space="preserve">F2 offspring. </w:t>
      </w:r>
    </w:p>
    <w:p w14:paraId="6207551D" w14:textId="08BCBE67" w:rsidR="009E50AC" w:rsidRDefault="00FF2407" w:rsidP="009E4469">
      <w:pPr>
        <w:pStyle w:val="ListParagraph"/>
        <w:numPr>
          <w:ilvl w:val="0"/>
          <w:numId w:val="1"/>
        </w:numPr>
      </w:pPr>
      <w:r>
        <w:t xml:space="preserve">This </w:t>
      </w:r>
      <w:r w:rsidR="007859D3">
        <w:t>presents a unique challenge, as each individual only will have (on average) a single cross over per chromosome arm. Thus, estimating rates of recombination across the genome requires genotyping many hundreds of individuals at a large number of informative markers.</w:t>
      </w:r>
    </w:p>
    <w:p w14:paraId="37606984" w14:textId="63EB5640" w:rsidR="007859D3" w:rsidRDefault="007859D3" w:rsidP="009E4469">
      <w:pPr>
        <w:pStyle w:val="ListParagraph"/>
        <w:numPr>
          <w:ilvl w:val="0"/>
          <w:numId w:val="1"/>
        </w:numPr>
      </w:pPr>
      <w:r>
        <w:t xml:space="preserve">This makes typically high-throughput methods ineffective, as they focus on genotyping low numbers of individuals at large numbers of markers. </w:t>
      </w:r>
    </w:p>
    <w:p w14:paraId="2B8D39B3" w14:textId="0D1E2064" w:rsidR="007859D3" w:rsidRDefault="007859D3" w:rsidP="009E4469">
      <w:pPr>
        <w:pStyle w:val="ListParagraph"/>
        <w:numPr>
          <w:ilvl w:val="0"/>
          <w:numId w:val="1"/>
        </w:numPr>
      </w:pPr>
      <w:r>
        <w:t>A new method, GT-Seq, overcomes this method. The method turns e</w:t>
      </w:r>
    </w:p>
    <w:p w14:paraId="07957E62" w14:textId="4C235388" w:rsidR="007859D3" w:rsidRDefault="007859D3" w:rsidP="009E4469">
      <w:pPr>
        <w:pStyle w:val="ListParagraph"/>
        <w:numPr>
          <w:ilvl w:val="0"/>
          <w:numId w:val="1"/>
        </w:numPr>
      </w:pPr>
      <w:r>
        <w:t>While it has potential to massively transform our ability to measure recombination in the laboratory, it has so far been used for population genetic analyses in wild populations.</w:t>
      </w:r>
    </w:p>
    <w:p w14:paraId="5658C75D" w14:textId="39F50389" w:rsidR="007859D3" w:rsidRDefault="007859D3" w:rsidP="009E4469">
      <w:pPr>
        <w:pStyle w:val="ListParagraph"/>
        <w:numPr>
          <w:ilvl w:val="0"/>
          <w:numId w:val="1"/>
        </w:numPr>
      </w:pPr>
      <w:r>
        <w:t>Using this new method requires a prior knowledge of SNPs throughout the genome that can be used as informative markers for the construction of genetics maps.</w:t>
      </w:r>
    </w:p>
    <w:p w14:paraId="471E1508" w14:textId="313536CC" w:rsidR="007859D3" w:rsidRDefault="007859D3" w:rsidP="009E4469">
      <w:pPr>
        <w:pStyle w:val="ListParagraph"/>
        <w:numPr>
          <w:ilvl w:val="0"/>
          <w:numId w:val="1"/>
        </w:numPr>
      </w:pPr>
      <w:r>
        <w:lastRenderedPageBreak/>
        <w:t>Thus, we seek to obtain whole-genome sequence for our 16 inbred lines and three tester lines (19 lines in total).</w:t>
      </w:r>
    </w:p>
    <w:p w14:paraId="02487821" w14:textId="233EA8B7" w:rsidR="007859D3" w:rsidRDefault="00464E5E" w:rsidP="009E4469">
      <w:pPr>
        <w:pStyle w:val="ListParagraph"/>
        <w:numPr>
          <w:ilvl w:val="0"/>
          <w:numId w:val="1"/>
        </w:numPr>
      </w:pPr>
      <w:r>
        <w:t xml:space="preserve">This can be achieved via multiplex whole genome sequencing in two lanes on an Illumina HiSeq 4000. Given a genome size of 130Mb, this will net approximately </w:t>
      </w:r>
      <w:r w:rsidR="008C6C01">
        <w:t>80</w:t>
      </w:r>
      <w:r>
        <w:t>x coverage for each individual (</w:t>
      </w:r>
      <w:r w:rsidR="002E230B">
        <w:t xml:space="preserve">Illumina estimates 715x total coverage of a single drosophila per lane, </w:t>
      </w:r>
      <w:r w:rsidR="00057822">
        <w:t>19</w:t>
      </w:r>
      <w:r w:rsidR="008C6C01">
        <w:t xml:space="preserve"> genomes</w:t>
      </w:r>
      <w:r w:rsidR="002E230B">
        <w:t xml:space="preserve"> in two lanes, (715x)*</w:t>
      </w:r>
      <w:r w:rsidR="00057822">
        <w:t>2 / 19</w:t>
      </w:r>
      <w:r w:rsidR="002E230B">
        <w:t xml:space="preserve"> = ~80x</w:t>
      </w:r>
      <w:r w:rsidR="008C6C01">
        <w:t xml:space="preserve">). </w:t>
      </w:r>
    </w:p>
    <w:p w14:paraId="13389CA1" w14:textId="163CA287" w:rsidR="00E66DB8" w:rsidRDefault="00E66DB8" w:rsidP="00320707">
      <w:pPr>
        <w:pStyle w:val="ListParagraph"/>
        <w:numPr>
          <w:ilvl w:val="0"/>
          <w:numId w:val="1"/>
        </w:numPr>
      </w:pPr>
      <w:r>
        <w:t xml:space="preserve">The library preps and sequencing will be carried out at the duke sequencing center. </w:t>
      </w:r>
      <w:r w:rsidR="00320707">
        <w:t>With a total estimated cost of $55</w:t>
      </w:r>
      <w:r>
        <w:t>00</w:t>
      </w:r>
      <w:r w:rsidR="00320707">
        <w:t>.</w:t>
      </w:r>
    </w:p>
    <w:p w14:paraId="34D3B307" w14:textId="70896905" w:rsidR="00E66DB8" w:rsidRDefault="00E66DB8" w:rsidP="009E4469">
      <w:pPr>
        <w:pStyle w:val="ListParagraph"/>
        <w:numPr>
          <w:ilvl w:val="0"/>
          <w:numId w:val="1"/>
        </w:numPr>
      </w:pPr>
      <w:r>
        <w:t>After obtaining the sequencing data, we will align the data to the referenc</w:t>
      </w:r>
      <w:r w:rsidR="00320707">
        <w:t xml:space="preserve">e genome, call SNPS using GATK </w:t>
      </w:r>
      <w:r>
        <w:t>and identify mapping-informative markers.</w:t>
      </w:r>
    </w:p>
    <w:p w14:paraId="720C018D" w14:textId="78903DD4" w:rsidR="00E66DB8" w:rsidRDefault="00E66DB8" w:rsidP="009E4469">
      <w:pPr>
        <w:pStyle w:val="ListParagraph"/>
        <w:numPr>
          <w:ilvl w:val="0"/>
          <w:numId w:val="1"/>
        </w:numPr>
      </w:pPr>
      <w:r>
        <w:t xml:space="preserve">We will then use these markers to design a 196 </w:t>
      </w:r>
      <w:r w:rsidR="00320707">
        <w:t xml:space="preserve">GT-seq </w:t>
      </w:r>
      <w:r>
        <w:t>amplicon panel for high-throughput construction o</w:t>
      </w:r>
      <w:r w:rsidR="00320707">
        <w:t>f 16 genetic maps for each line.</w:t>
      </w:r>
    </w:p>
    <w:p w14:paraId="628EDF2C" w14:textId="5956BAEF" w:rsidR="00320707" w:rsidRDefault="004867CA" w:rsidP="009E4469">
      <w:pPr>
        <w:pStyle w:val="ListParagraph"/>
        <w:numPr>
          <w:ilvl w:val="0"/>
          <w:numId w:val="1"/>
        </w:numPr>
      </w:pPr>
      <w:r>
        <w:t>The amount requested will allow us to sequence our experimental lines to sufficient depth for confident calling of mapping-informative SNPs. Lower depth sequencing would greatly reduce our ability to build an informative panel of SNPs for genetic map construction.</w:t>
      </w:r>
      <w:bookmarkStart w:id="0" w:name="_GoBack"/>
      <w:bookmarkEnd w:id="0"/>
    </w:p>
    <w:p w14:paraId="0A872B56" w14:textId="77777777" w:rsidR="009E50AC" w:rsidRDefault="009E50AC" w:rsidP="009E50AC"/>
    <w:p w14:paraId="1E489574" w14:textId="77777777" w:rsidR="009E4469" w:rsidRDefault="009E4469"/>
    <w:p w14:paraId="619A551D" w14:textId="77777777" w:rsidR="009E4469" w:rsidRDefault="009E4469"/>
    <w:p w14:paraId="78C01F6F" w14:textId="77777777" w:rsidR="009E4469" w:rsidRDefault="009E4469">
      <w:r>
        <w:t>Rationale</w:t>
      </w:r>
    </w:p>
    <w:p w14:paraId="7D82E6B9" w14:textId="77777777" w:rsidR="009E4469" w:rsidRDefault="009E4469"/>
    <w:p w14:paraId="21DA3BB9" w14:textId="77777777" w:rsidR="009E4469" w:rsidRDefault="009E4469">
      <w:r>
        <w:t>Proposed Plan</w:t>
      </w:r>
    </w:p>
    <w:p w14:paraId="4C31ED11" w14:textId="77777777" w:rsidR="009E4469" w:rsidRDefault="009E4469"/>
    <w:p w14:paraId="32607C3E" w14:textId="77777777" w:rsidR="009E4469" w:rsidRDefault="009E4469">
      <w:r>
        <w:t>Justification for Amount Requested</w:t>
      </w:r>
    </w:p>
    <w:sectPr w:rsidR="009E4469" w:rsidSect="000773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6960E6"/>
    <w:multiLevelType w:val="hybridMultilevel"/>
    <w:tmpl w:val="A372D882"/>
    <w:lvl w:ilvl="0" w:tplc="22F43A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469"/>
    <w:rsid w:val="00057822"/>
    <w:rsid w:val="0007735A"/>
    <w:rsid w:val="002E230B"/>
    <w:rsid w:val="00320707"/>
    <w:rsid w:val="00464E5E"/>
    <w:rsid w:val="004867CA"/>
    <w:rsid w:val="006C4BA1"/>
    <w:rsid w:val="007859D3"/>
    <w:rsid w:val="00794D3E"/>
    <w:rsid w:val="007B2297"/>
    <w:rsid w:val="008C6C01"/>
    <w:rsid w:val="009E4469"/>
    <w:rsid w:val="009E50AC"/>
    <w:rsid w:val="00AB3ECF"/>
    <w:rsid w:val="00CF6013"/>
    <w:rsid w:val="00DD23DB"/>
    <w:rsid w:val="00E66DB8"/>
    <w:rsid w:val="00EC326E"/>
    <w:rsid w:val="00F827E2"/>
    <w:rsid w:val="00FF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F59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3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570</Words>
  <Characters>3251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</dc:creator>
  <cp:keywords/>
  <dc:description/>
  <cp:lastModifiedBy>Kieran</cp:lastModifiedBy>
  <cp:revision>8</cp:revision>
  <dcterms:created xsi:type="dcterms:W3CDTF">2017-04-04T18:34:00Z</dcterms:created>
  <dcterms:modified xsi:type="dcterms:W3CDTF">2017-04-04T20:14:00Z</dcterms:modified>
</cp:coreProperties>
</file>