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Northwind Cloud: Service Plans 2026</w:t>
      </w:r>
    </w:p>
    <w:p>
      <w:pPr>
        <w:pStyle w:val="Heading1"/>
      </w:pPr>
      <w:r>
        <w:t>Overview</w:t>
      </w:r>
    </w:p>
    <w:p>
      <w:r>
        <w:t>Northwind Cloud offers managed hosting, storage and databases to teams of every size. This document describes the three service plans that take effect on 1 January 2026: Basic, Team and Enterprise. It replaces the 2025 plan sheet, and the prices in it apply to every new subscription from that date.</w:t>
      </w:r>
    </w:p>
    <w:p>
      <w:r>
        <w:t>Existing customers keep their current terms until their next renewal date. At renewal they are moved to the closest 2026 plan automatically, and the account owner receives written notice 45 days beforehand. Nobody is moved to a plan that costs more without a confirmation step.</w:t>
      </w:r>
    </w:p>
    <w:p>
      <w:r>
        <w:t>All plans run in the same 14 regions and use the same infrastructure. The plans differ in included capacity, support response times, retention periods and security controls, not in the quality of the underlying service.</w:t>
      </w:r>
    </w:p>
    <w:p>
      <w:pPr>
        <w:pStyle w:val="Heading1"/>
      </w:pPr>
      <w:r>
        <w:t>Choosing a plan</w:t>
      </w:r>
    </w:p>
    <w:p>
      <w:pPr>
        <w:pStyle w:val="Heading2"/>
      </w:pPr>
      <w:r>
        <w:t>Who each plan is for</w:t>
      </w:r>
    </w:p>
    <w:p>
      <w:r>
        <w:t>Basic is built for individuals, students and small side projects. It is limited to 5 users and 3 projects, and it includes enough storage for a typical static site, a small API or a hobby database. Basic accounts can be upgraded at any time, and the price difference is prorated to the day.</w:t>
      </w:r>
    </w:p>
    <w:p>
      <w:r>
        <w:t>Team is the plan most customers choose. It supports up to 50 users and 25 projects, adds single sign-on, private networking and point-in-time restore, and moves support from email only to email and chat. Most teams of 10 to 40 engineers run comfortably within its included capacity.</w:t>
      </w:r>
    </w:p>
    <w:p>
      <w:r>
        <w:t>Enterprise has no user or project limits. It adds customer-managed encryption keys, cross-region replication, a named technical account manager and round-the-clock support for severity 1 incidents. It is the only plan that offers a multi-year contract with a price lock for the full term.</w:t>
      </w:r>
    </w:p>
    <w:p>
      <w:pPr>
        <w:pStyle w:val="Heading2"/>
      </w:pPr>
      <w:r>
        <w:t>Moving between plans</w:t>
      </w:r>
    </w:p>
    <w:p>
      <w:r>
        <w:t>You can move to a higher plan whenever you like. Moving to a lower plan takes effect at the end of the current billing period, and resources above the lower plan's limits must be removed or archived before then. Northwind will not delete anything on your behalf during a downgrade.</w:t>
      </w:r>
    </w:p>
    <w:p>
      <w:r>
        <w:t>A 30-day trial of the Team plan is available to every new account. No payment card is required for the trial, and any resources created during the trial are kept if you convert to a paid plan within 14 days of its end.</w:t>
      </w:r>
    </w:p>
    <w:p>
      <w:pPr>
        <w:pStyle w:val="Heading2"/>
      </w:pPr>
      <w:r>
        <w:t>Comparing the plans</w:t>
      </w:r>
    </w:p>
    <w:p>
      <w:r>
        <w:t>The table below lists the limits and features that differ between the plans. Where a cell says Yes, the feature is included at no extra charge.</w:t>
      </w:r>
    </w:p>
    <w:p>
      <w:pPr>
        <w:pStyle w:val="Caption"/>
      </w:pPr>
      <w:r>
        <w:t>Table 3: Feature comparison by plan</w:t>
      </w:r>
    </w:p>
    <w:tbl>
      <w:tblPr>
        <w:tblStyle w:val="TableGrid"/>
        <w:tblW w:type="auto" w:w="0"/>
        <w:tblLayout w:type="fixed"/>
        <w:tblLook w:firstColumn="1" w:firstRow="1" w:lastColumn="0" w:lastRow="0" w:noHBand="0" w:noVBand="1" w:val="04A0"/>
      </w:tblPr>
      <w:tblGrid>
        <w:gridCol w:w="3024"/>
        <w:gridCol w:w="1872"/>
        <w:gridCol w:w="2160"/>
        <w:gridCol w:w="2304"/>
      </w:tblGrid>
      <w:tr>
        <w:tc>
          <w:tcPr>
            <w:tcW w:type="dxa" w:w="3024"/>
          </w:tcPr>
          <w:p>
            <w:pPr>
              <w:spacing w:after="0" w:line="240" w:lineRule="auto"/>
            </w:pPr>
            <w:r>
              <w:rPr>
                <w:b/>
                <w:sz w:val="20"/>
              </w:rPr>
              <w:t>Feature</w:t>
            </w:r>
          </w:p>
        </w:tc>
        <w:tc>
          <w:tcPr>
            <w:tcW w:type="dxa" w:w="1872"/>
          </w:tcPr>
          <w:p>
            <w:pPr>
              <w:spacing w:after="0" w:line="240" w:lineRule="auto"/>
            </w:pPr>
            <w:r>
              <w:rPr>
                <w:b/>
                <w:sz w:val="20"/>
              </w:rPr>
              <w:t>Basic</w:t>
            </w:r>
          </w:p>
        </w:tc>
        <w:tc>
          <w:tcPr>
            <w:tcW w:type="dxa" w:w="2160"/>
          </w:tcPr>
          <w:p>
            <w:pPr>
              <w:spacing w:after="0" w:line="240" w:lineRule="auto"/>
            </w:pPr>
            <w:r>
              <w:rPr>
                <w:b/>
                <w:sz w:val="20"/>
              </w:rPr>
              <w:t>Team</w:t>
            </w:r>
          </w:p>
        </w:tc>
        <w:tc>
          <w:tcPr>
            <w:tcW w:type="dxa" w:w="2304"/>
          </w:tcPr>
          <w:p>
            <w:pPr>
              <w:spacing w:after="0" w:line="240" w:lineRule="auto"/>
            </w:pPr>
            <w:r>
              <w:rPr>
                <w:b/>
                <w:sz w:val="20"/>
              </w:rPr>
              <w:t>Enterprise</w:t>
            </w:r>
          </w:p>
        </w:tc>
      </w:tr>
      <w:tr>
        <w:tc>
          <w:tcPr>
            <w:tcW w:type="dxa" w:w="3024"/>
          </w:tcPr>
          <w:p>
            <w:pPr>
              <w:spacing w:after="0" w:line="240" w:lineRule="auto"/>
            </w:pPr>
            <w:r>
              <w:rPr>
                <w:b w:val="0"/>
                <w:sz w:val="20"/>
              </w:rPr>
              <w:t>Included users</w:t>
            </w:r>
          </w:p>
        </w:tc>
        <w:tc>
          <w:tcPr>
            <w:tcW w:type="dxa" w:w="1872"/>
          </w:tcPr>
          <w:p>
            <w:pPr>
              <w:spacing w:after="0" w:line="240" w:lineRule="auto"/>
            </w:pPr>
            <w:r>
              <w:rPr>
                <w:b w:val="0"/>
                <w:sz w:val="20"/>
              </w:rPr>
              <w:t>5</w:t>
            </w:r>
          </w:p>
        </w:tc>
        <w:tc>
          <w:tcPr>
            <w:tcW w:type="dxa" w:w="2160"/>
          </w:tcPr>
          <w:p>
            <w:pPr>
              <w:spacing w:after="0" w:line="240" w:lineRule="auto"/>
            </w:pPr>
            <w:r>
              <w:rPr>
                <w:b w:val="0"/>
                <w:sz w:val="20"/>
              </w:rPr>
              <w:t>50</w:t>
            </w:r>
          </w:p>
        </w:tc>
        <w:tc>
          <w:tcPr>
            <w:tcW w:type="dxa" w:w="2304"/>
          </w:tcPr>
          <w:p>
            <w:pPr>
              <w:spacing w:after="0" w:line="240" w:lineRule="auto"/>
            </w:pPr>
            <w:r>
              <w:rPr>
                <w:b w:val="0"/>
                <w:sz w:val="20"/>
              </w:rPr>
              <w:t>Unlimited</w:t>
            </w:r>
          </w:p>
        </w:tc>
      </w:tr>
      <w:tr>
        <w:tc>
          <w:tcPr>
            <w:tcW w:type="dxa" w:w="3024"/>
          </w:tcPr>
          <w:p>
            <w:pPr>
              <w:spacing w:after="0" w:line="240" w:lineRule="auto"/>
            </w:pPr>
            <w:r>
              <w:rPr>
                <w:b w:val="0"/>
                <w:sz w:val="20"/>
              </w:rPr>
              <w:t>Projects</w:t>
            </w:r>
          </w:p>
        </w:tc>
        <w:tc>
          <w:tcPr>
            <w:tcW w:type="dxa" w:w="1872"/>
          </w:tcPr>
          <w:p>
            <w:pPr>
              <w:spacing w:after="0" w:line="240" w:lineRule="auto"/>
            </w:pPr>
            <w:r>
              <w:rPr>
                <w:b w:val="0"/>
                <w:sz w:val="20"/>
              </w:rPr>
              <w:t>3</w:t>
            </w:r>
          </w:p>
        </w:tc>
        <w:tc>
          <w:tcPr>
            <w:tcW w:type="dxa" w:w="2160"/>
          </w:tcPr>
          <w:p>
            <w:pPr>
              <w:spacing w:after="0" w:line="240" w:lineRule="auto"/>
            </w:pPr>
            <w:r>
              <w:rPr>
                <w:b w:val="0"/>
                <w:sz w:val="20"/>
              </w:rPr>
              <w:t>25</w:t>
            </w:r>
          </w:p>
        </w:tc>
        <w:tc>
          <w:tcPr>
            <w:tcW w:type="dxa" w:w="2304"/>
          </w:tcPr>
          <w:p>
            <w:pPr>
              <w:spacing w:after="0" w:line="240" w:lineRule="auto"/>
            </w:pPr>
            <w:r>
              <w:rPr>
                <w:b w:val="0"/>
                <w:sz w:val="20"/>
              </w:rPr>
              <w:t>Unlimited</w:t>
            </w:r>
          </w:p>
        </w:tc>
      </w:tr>
      <w:tr>
        <w:tc>
          <w:tcPr>
            <w:tcW w:type="dxa" w:w="3024"/>
          </w:tcPr>
          <w:p>
            <w:pPr>
              <w:spacing w:after="0" w:line="240" w:lineRule="auto"/>
            </w:pPr>
            <w:r>
              <w:rPr>
                <w:b w:val="0"/>
                <w:sz w:val="20"/>
              </w:rPr>
              <w:t>Price per user</w:t>
            </w:r>
          </w:p>
        </w:tc>
        <w:tc>
          <w:tcPr>
            <w:tcW w:type="dxa" w:w="1872"/>
          </w:tcPr>
          <w:p>
            <w:pPr>
              <w:spacing w:after="0" w:line="240" w:lineRule="auto"/>
            </w:pPr>
            <w:r>
              <w:rPr>
                <w:b w:val="0"/>
                <w:sz w:val="20"/>
              </w:rPr>
              <w:t>$12 / user / month</w:t>
            </w:r>
          </w:p>
        </w:tc>
        <w:tc>
          <w:tcPr>
            <w:tcW w:type="dxa" w:w="2160"/>
          </w:tcPr>
          <w:p>
            <w:pPr>
              <w:spacing w:after="0" w:line="240" w:lineRule="auto"/>
            </w:pPr>
            <w:r>
              <w:rPr>
                <w:b w:val="0"/>
                <w:sz w:val="20"/>
              </w:rPr>
              <w:t>$29 / user / month</w:t>
            </w:r>
          </w:p>
        </w:tc>
        <w:tc>
          <w:tcPr>
            <w:tcW w:type="dxa" w:w="2304"/>
          </w:tcPr>
          <w:p>
            <w:pPr>
              <w:spacing w:after="0" w:line="240" w:lineRule="auto"/>
            </w:pPr>
            <w:r>
              <w:rPr>
                <w:b w:val="0"/>
                <w:sz w:val="20"/>
              </w:rPr>
              <w:t>$58 / user / month</w:t>
            </w:r>
          </w:p>
        </w:tc>
      </w:tr>
      <w:tr>
        <w:tc>
          <w:tcPr>
            <w:tcW w:type="dxa" w:w="3024"/>
          </w:tcPr>
          <w:p>
            <w:pPr>
              <w:spacing w:after="0" w:line="240" w:lineRule="auto"/>
            </w:pPr>
            <w:r>
              <w:rPr>
                <w:b w:val="0"/>
                <w:sz w:val="20"/>
              </w:rPr>
              <w:t>Annual prepayment discount</w:t>
            </w:r>
          </w:p>
        </w:tc>
        <w:tc>
          <w:tcPr>
            <w:tcW w:type="dxa" w:w="1872"/>
          </w:tcPr>
          <w:p>
            <w:pPr>
              <w:spacing w:after="0" w:line="240" w:lineRule="auto"/>
            </w:pPr>
            <w:r>
              <w:rPr>
                <w:b w:val="0"/>
                <w:sz w:val="20"/>
              </w:rPr>
              <w:t>No</w:t>
            </w:r>
          </w:p>
        </w:tc>
        <w:tc>
          <w:tcPr>
            <w:tcW w:type="dxa" w:w="2160"/>
          </w:tcPr>
          <w:p>
            <w:pPr>
              <w:spacing w:after="0" w:line="240" w:lineRule="auto"/>
            </w:pPr>
            <w:r>
              <w:rPr>
                <w:b w:val="0"/>
                <w:sz w:val="20"/>
              </w:rPr>
              <w:t>10%</w:t>
            </w:r>
          </w:p>
        </w:tc>
        <w:tc>
          <w:tcPr>
            <w:tcW w:type="dxa" w:w="2304"/>
          </w:tcPr>
          <w:p>
            <w:pPr>
              <w:spacing w:after="0" w:line="240" w:lineRule="auto"/>
            </w:pPr>
            <w:r>
              <w:rPr>
                <w:b w:val="0"/>
                <w:sz w:val="20"/>
              </w:rPr>
              <w:t>15%</w:t>
            </w:r>
          </w:p>
        </w:tc>
      </w:tr>
      <w:tr>
        <w:tc>
          <w:tcPr>
            <w:tcW w:type="dxa" w:w="3024"/>
          </w:tcPr>
          <w:p>
            <w:pPr>
              <w:spacing w:after="0" w:line="240" w:lineRule="auto"/>
            </w:pPr>
            <w:r>
              <w:rPr>
                <w:b w:val="0"/>
                <w:sz w:val="20"/>
              </w:rPr>
              <w:t>Contract term</w:t>
            </w:r>
          </w:p>
        </w:tc>
        <w:tc>
          <w:tcPr>
            <w:tcW w:type="dxa" w:w="1872"/>
          </w:tcPr>
          <w:p>
            <w:pPr>
              <w:spacing w:after="0" w:line="240" w:lineRule="auto"/>
            </w:pPr>
            <w:r>
              <w:rPr>
                <w:b w:val="0"/>
                <w:sz w:val="20"/>
              </w:rPr>
              <w:t>Monthly</w:t>
            </w:r>
          </w:p>
        </w:tc>
        <w:tc>
          <w:tcPr>
            <w:tcW w:type="dxa" w:w="2160"/>
          </w:tcPr>
          <w:p>
            <w:pPr>
              <w:spacing w:after="0" w:line="240" w:lineRule="auto"/>
            </w:pPr>
            <w:r>
              <w:rPr>
                <w:b w:val="0"/>
                <w:sz w:val="20"/>
              </w:rPr>
              <w:t>Monthly or annual</w:t>
            </w:r>
          </w:p>
        </w:tc>
        <w:tc>
          <w:tcPr>
            <w:tcW w:type="dxa" w:w="2304"/>
          </w:tcPr>
          <w:p>
            <w:pPr>
              <w:spacing w:after="0" w:line="240" w:lineRule="auto"/>
            </w:pPr>
            <w:r>
              <w:rPr>
                <w:b w:val="0"/>
                <w:sz w:val="20"/>
              </w:rPr>
              <w:t>Annual or multi-year</w:t>
            </w:r>
          </w:p>
        </w:tc>
      </w:tr>
      <w:tr>
        <w:tc>
          <w:tcPr>
            <w:tcW w:type="dxa" w:w="3024"/>
          </w:tcPr>
          <w:p>
            <w:pPr>
              <w:spacing w:after="0" w:line="240" w:lineRule="auto"/>
            </w:pPr>
            <w:r>
              <w:rPr>
                <w:b w:val="0"/>
                <w:sz w:val="20"/>
              </w:rPr>
              <w:t>Block storage per user</w:t>
            </w:r>
          </w:p>
        </w:tc>
        <w:tc>
          <w:tcPr>
            <w:tcW w:type="dxa" w:w="1872"/>
          </w:tcPr>
          <w:p>
            <w:pPr>
              <w:spacing w:after="0" w:line="240" w:lineRule="auto"/>
            </w:pPr>
            <w:r>
              <w:rPr>
                <w:b w:val="0"/>
                <w:sz w:val="20"/>
              </w:rPr>
              <w:t>5 GB</w:t>
            </w:r>
          </w:p>
        </w:tc>
        <w:tc>
          <w:tcPr>
            <w:tcW w:type="dxa" w:w="2160"/>
          </w:tcPr>
          <w:p>
            <w:pPr>
              <w:spacing w:after="0" w:line="240" w:lineRule="auto"/>
            </w:pPr>
            <w:r>
              <w:rPr>
                <w:b w:val="0"/>
                <w:sz w:val="20"/>
              </w:rPr>
              <w:t>50 GB</w:t>
            </w:r>
          </w:p>
        </w:tc>
        <w:tc>
          <w:tcPr>
            <w:tcW w:type="dxa" w:w="2304"/>
          </w:tcPr>
          <w:p>
            <w:pPr>
              <w:spacing w:after="0" w:line="240" w:lineRule="auto"/>
            </w:pPr>
            <w:r>
              <w:rPr>
                <w:b w:val="0"/>
                <w:sz w:val="20"/>
              </w:rPr>
              <w:t>500 GB</w:t>
            </w:r>
          </w:p>
        </w:tc>
      </w:tr>
      <w:tr>
        <w:tc>
          <w:tcPr>
            <w:tcW w:type="dxa" w:w="3024"/>
          </w:tcPr>
          <w:p>
            <w:pPr>
              <w:spacing w:after="0" w:line="240" w:lineRule="auto"/>
            </w:pPr>
            <w:r>
              <w:rPr>
                <w:b w:val="0"/>
                <w:sz w:val="20"/>
              </w:rPr>
              <w:t>Object storage included</w:t>
            </w:r>
          </w:p>
        </w:tc>
        <w:tc>
          <w:tcPr>
            <w:tcW w:type="dxa" w:w="1872"/>
          </w:tcPr>
          <w:p>
            <w:pPr>
              <w:spacing w:after="0" w:line="240" w:lineRule="auto"/>
            </w:pPr>
            <w:r>
              <w:rPr>
                <w:b w:val="0"/>
                <w:sz w:val="20"/>
              </w:rPr>
              <w:t>100 GB</w:t>
            </w:r>
          </w:p>
        </w:tc>
        <w:tc>
          <w:tcPr>
            <w:tcW w:type="dxa" w:w="2160"/>
          </w:tcPr>
          <w:p>
            <w:pPr>
              <w:spacing w:after="0" w:line="240" w:lineRule="auto"/>
            </w:pPr>
            <w:r>
              <w:rPr>
                <w:b w:val="0"/>
                <w:sz w:val="20"/>
              </w:rPr>
              <w:t>2 TB</w:t>
            </w:r>
          </w:p>
        </w:tc>
        <w:tc>
          <w:tcPr>
            <w:tcW w:type="dxa" w:w="2304"/>
          </w:tcPr>
          <w:p>
            <w:pPr>
              <w:spacing w:after="0" w:line="240" w:lineRule="auto"/>
            </w:pPr>
            <w:r>
              <w:rPr>
                <w:b w:val="0"/>
                <w:sz w:val="20"/>
              </w:rPr>
              <w:t>50 TB</w:t>
            </w:r>
          </w:p>
        </w:tc>
      </w:tr>
      <w:tr>
        <w:tc>
          <w:tcPr>
            <w:tcW w:type="dxa" w:w="3024"/>
          </w:tcPr>
          <w:p>
            <w:pPr>
              <w:spacing w:after="0" w:line="240" w:lineRule="auto"/>
            </w:pPr>
            <w:r>
              <w:rPr>
                <w:b w:val="0"/>
                <w:sz w:val="20"/>
              </w:rPr>
              <w:t>Egress bandwidth included</w:t>
            </w:r>
          </w:p>
        </w:tc>
        <w:tc>
          <w:tcPr>
            <w:tcW w:type="dxa" w:w="1872"/>
          </w:tcPr>
          <w:p>
            <w:pPr>
              <w:spacing w:after="0" w:line="240" w:lineRule="auto"/>
            </w:pPr>
            <w:r>
              <w:rPr>
                <w:b w:val="0"/>
                <w:sz w:val="20"/>
              </w:rPr>
              <w:t>100 GB</w:t>
            </w:r>
          </w:p>
        </w:tc>
        <w:tc>
          <w:tcPr>
            <w:tcW w:type="dxa" w:w="2160"/>
          </w:tcPr>
          <w:p>
            <w:pPr>
              <w:spacing w:after="0" w:line="240" w:lineRule="auto"/>
            </w:pPr>
            <w:r>
              <w:rPr>
                <w:b w:val="0"/>
                <w:sz w:val="20"/>
              </w:rPr>
              <w:t>1 TB</w:t>
            </w:r>
          </w:p>
        </w:tc>
        <w:tc>
          <w:tcPr>
            <w:tcW w:type="dxa" w:w="2304"/>
          </w:tcPr>
          <w:p>
            <w:pPr>
              <w:spacing w:after="0" w:line="240" w:lineRule="auto"/>
            </w:pPr>
            <w:r>
              <w:rPr>
                <w:b w:val="0"/>
                <w:sz w:val="20"/>
              </w:rPr>
              <w:t>20 TB</w:t>
            </w:r>
          </w:p>
        </w:tc>
      </w:tr>
      <w:tr>
        <w:tc>
          <w:tcPr>
            <w:tcW w:type="dxa" w:w="3024"/>
          </w:tcPr>
          <w:p>
            <w:pPr>
              <w:spacing w:after="0" w:line="240" w:lineRule="auto"/>
            </w:pPr>
            <w:r>
              <w:rPr>
                <w:b w:val="0"/>
                <w:sz w:val="20"/>
              </w:rPr>
              <w:t>Managed databases</w:t>
            </w:r>
          </w:p>
        </w:tc>
        <w:tc>
          <w:tcPr>
            <w:tcW w:type="dxa" w:w="1872"/>
          </w:tcPr>
          <w:p>
            <w:pPr>
              <w:spacing w:after="0" w:line="240" w:lineRule="auto"/>
            </w:pPr>
            <w:r>
              <w:rPr>
                <w:b w:val="0"/>
                <w:sz w:val="20"/>
              </w:rPr>
              <w:t>2</w:t>
            </w:r>
          </w:p>
        </w:tc>
        <w:tc>
          <w:tcPr>
            <w:tcW w:type="dxa" w:w="2160"/>
          </w:tcPr>
          <w:p>
            <w:pPr>
              <w:spacing w:after="0" w:line="240" w:lineRule="auto"/>
            </w:pPr>
            <w:r>
              <w:rPr>
                <w:b w:val="0"/>
                <w:sz w:val="20"/>
              </w:rPr>
              <w:t>10</w:t>
            </w:r>
          </w:p>
        </w:tc>
        <w:tc>
          <w:tcPr>
            <w:tcW w:type="dxa" w:w="2304"/>
          </w:tcPr>
          <w:p>
            <w:pPr>
              <w:spacing w:after="0" w:line="240" w:lineRule="auto"/>
            </w:pPr>
            <w:r>
              <w:rPr>
                <w:b w:val="0"/>
                <w:sz w:val="20"/>
              </w:rPr>
              <w:t>40</w:t>
            </w:r>
          </w:p>
        </w:tc>
      </w:tr>
      <w:tr>
        <w:tc>
          <w:tcPr>
            <w:tcW w:type="dxa" w:w="3024"/>
          </w:tcPr>
          <w:p>
            <w:pPr>
              <w:spacing w:after="0" w:line="240" w:lineRule="auto"/>
            </w:pPr>
            <w:r>
              <w:rPr>
                <w:b w:val="0"/>
                <w:sz w:val="20"/>
              </w:rPr>
              <w:t>Maximum database size</w:t>
            </w:r>
          </w:p>
        </w:tc>
        <w:tc>
          <w:tcPr>
            <w:tcW w:type="dxa" w:w="1872"/>
          </w:tcPr>
          <w:p>
            <w:pPr>
              <w:spacing w:after="0" w:line="240" w:lineRule="auto"/>
            </w:pPr>
            <w:r>
              <w:rPr>
                <w:b w:val="0"/>
                <w:sz w:val="20"/>
              </w:rPr>
              <w:t>20 GB</w:t>
            </w:r>
          </w:p>
        </w:tc>
        <w:tc>
          <w:tcPr>
            <w:tcW w:type="dxa" w:w="2160"/>
          </w:tcPr>
          <w:p>
            <w:pPr>
              <w:spacing w:after="0" w:line="240" w:lineRule="auto"/>
            </w:pPr>
            <w:r>
              <w:rPr>
                <w:b w:val="0"/>
                <w:sz w:val="20"/>
              </w:rPr>
              <w:t>250 GB</w:t>
            </w:r>
          </w:p>
        </w:tc>
        <w:tc>
          <w:tcPr>
            <w:tcW w:type="dxa" w:w="2304"/>
          </w:tcPr>
          <w:p>
            <w:pPr>
              <w:spacing w:after="0" w:line="240" w:lineRule="auto"/>
            </w:pPr>
            <w:r>
              <w:rPr>
                <w:b w:val="0"/>
                <w:sz w:val="20"/>
              </w:rPr>
              <w:t>4 TB</w:t>
            </w:r>
          </w:p>
        </w:tc>
      </w:tr>
      <w:tr>
        <w:tc>
          <w:tcPr>
            <w:tcW w:type="dxa" w:w="3024"/>
          </w:tcPr>
          <w:p>
            <w:pPr>
              <w:spacing w:after="0" w:line="240" w:lineRule="auto"/>
            </w:pPr>
            <w:r>
              <w:rPr>
                <w:b w:val="0"/>
                <w:sz w:val="20"/>
              </w:rPr>
              <w:t>Read replicas</w:t>
            </w:r>
          </w:p>
        </w:tc>
        <w:tc>
          <w:tcPr>
            <w:tcW w:type="dxa" w:w="1872"/>
          </w:tcPr>
          <w:p>
            <w:pPr>
              <w:spacing w:after="0" w:line="240" w:lineRule="auto"/>
            </w:pPr>
            <w:r>
              <w:rPr>
                <w:b w:val="0"/>
                <w:sz w:val="20"/>
              </w:rPr>
              <w:t>No</w:t>
            </w:r>
          </w:p>
        </w:tc>
        <w:tc>
          <w:tcPr>
            <w:tcW w:type="dxa" w:w="2160"/>
          </w:tcPr>
          <w:p>
            <w:pPr>
              <w:spacing w:after="0" w:line="240" w:lineRule="auto"/>
            </w:pPr>
            <w:r>
              <w:rPr>
                <w:b w:val="0"/>
                <w:sz w:val="20"/>
              </w:rPr>
              <w:t>Up to 2</w:t>
            </w:r>
          </w:p>
        </w:tc>
        <w:tc>
          <w:tcPr>
            <w:tcW w:type="dxa" w:w="2304"/>
          </w:tcPr>
          <w:p>
            <w:pPr>
              <w:spacing w:after="0" w:line="240" w:lineRule="auto"/>
            </w:pPr>
            <w:r>
              <w:rPr>
                <w:b w:val="0"/>
                <w:sz w:val="20"/>
              </w:rPr>
              <w:t>Up to 10</w:t>
            </w:r>
          </w:p>
        </w:tc>
      </w:tr>
      <w:tr>
        <w:tc>
          <w:tcPr>
            <w:tcW w:type="dxa" w:w="3024"/>
          </w:tcPr>
          <w:p>
            <w:pPr>
              <w:spacing w:after="0" w:line="240" w:lineRule="auto"/>
            </w:pPr>
            <w:r>
              <w:rPr>
                <w:b w:val="0"/>
                <w:sz w:val="20"/>
              </w:rPr>
              <w:t>Autoscaling</w:t>
            </w:r>
          </w:p>
        </w:tc>
        <w:tc>
          <w:tcPr>
            <w:tcW w:type="dxa" w:w="1872"/>
          </w:tcPr>
          <w:p>
            <w:pPr>
              <w:spacing w:after="0" w:line="240" w:lineRule="auto"/>
            </w:pPr>
            <w:r>
              <w:rPr>
                <w:b w:val="0"/>
                <w:sz w:val="20"/>
              </w:rPr>
              <w:t>No</w:t>
            </w:r>
          </w:p>
        </w:tc>
        <w:tc>
          <w:tcPr>
            <w:tcW w:type="dxa" w:w="2160"/>
          </w:tcPr>
          <w:p>
            <w:pPr>
              <w:spacing w:after="0" w:line="240" w:lineRule="auto"/>
            </w:pPr>
            <w:r>
              <w:rPr>
                <w:b w:val="0"/>
                <w:sz w:val="20"/>
              </w:rPr>
              <w:t>Yes</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Custom domains</w:t>
            </w:r>
          </w:p>
        </w:tc>
        <w:tc>
          <w:tcPr>
            <w:tcW w:type="dxa" w:w="1872"/>
          </w:tcPr>
          <w:p>
            <w:pPr>
              <w:spacing w:after="0" w:line="240" w:lineRule="auto"/>
            </w:pPr>
            <w:r>
              <w:rPr>
                <w:b w:val="0"/>
                <w:sz w:val="20"/>
              </w:rPr>
              <w:t>1</w:t>
            </w:r>
          </w:p>
        </w:tc>
        <w:tc>
          <w:tcPr>
            <w:tcW w:type="dxa" w:w="2160"/>
          </w:tcPr>
          <w:p>
            <w:pPr>
              <w:spacing w:after="0" w:line="240" w:lineRule="auto"/>
            </w:pPr>
            <w:r>
              <w:rPr>
                <w:b w:val="0"/>
                <w:sz w:val="20"/>
              </w:rPr>
              <w:t>10</w:t>
            </w:r>
          </w:p>
        </w:tc>
        <w:tc>
          <w:tcPr>
            <w:tcW w:type="dxa" w:w="2304"/>
          </w:tcPr>
          <w:p>
            <w:pPr>
              <w:spacing w:after="0" w:line="240" w:lineRule="auto"/>
            </w:pPr>
            <w:r>
              <w:rPr>
                <w:b w:val="0"/>
                <w:sz w:val="20"/>
              </w:rPr>
              <w:t>50</w:t>
            </w:r>
          </w:p>
        </w:tc>
      </w:tr>
      <w:tr>
        <w:tc>
          <w:tcPr>
            <w:tcW w:type="dxa" w:w="3024"/>
          </w:tcPr>
          <w:p>
            <w:pPr>
              <w:spacing w:after="0" w:line="240" w:lineRule="auto"/>
            </w:pPr>
            <w:r>
              <w:rPr>
                <w:b w:val="0"/>
                <w:sz w:val="20"/>
              </w:rPr>
              <w:t>Webhooks</w:t>
            </w:r>
          </w:p>
        </w:tc>
        <w:tc>
          <w:tcPr>
            <w:tcW w:type="dxa" w:w="1872"/>
          </w:tcPr>
          <w:p>
            <w:pPr>
              <w:spacing w:after="0" w:line="240" w:lineRule="auto"/>
            </w:pPr>
            <w:r>
              <w:rPr>
                <w:b w:val="0"/>
                <w:sz w:val="20"/>
              </w:rPr>
              <w:t>5</w:t>
            </w:r>
          </w:p>
        </w:tc>
        <w:tc>
          <w:tcPr>
            <w:tcW w:type="dxa" w:w="2160"/>
          </w:tcPr>
          <w:p>
            <w:pPr>
              <w:spacing w:after="0" w:line="240" w:lineRule="auto"/>
            </w:pPr>
            <w:r>
              <w:rPr>
                <w:b w:val="0"/>
                <w:sz w:val="20"/>
              </w:rPr>
              <w:t>50</w:t>
            </w:r>
          </w:p>
        </w:tc>
        <w:tc>
          <w:tcPr>
            <w:tcW w:type="dxa" w:w="2304"/>
          </w:tcPr>
          <w:p>
            <w:pPr>
              <w:spacing w:after="0" w:line="240" w:lineRule="auto"/>
            </w:pPr>
            <w:r>
              <w:rPr>
                <w:b w:val="0"/>
                <w:sz w:val="20"/>
              </w:rPr>
              <w:t>500</w:t>
            </w:r>
          </w:p>
        </w:tc>
      </w:tr>
      <w:tr>
        <w:tc>
          <w:tcPr>
            <w:tcW w:type="dxa" w:w="3024"/>
          </w:tcPr>
          <w:p>
            <w:pPr>
              <w:spacing w:after="0" w:line="240" w:lineRule="auto"/>
            </w:pPr>
            <w:r>
              <w:rPr>
                <w:b w:val="0"/>
                <w:sz w:val="20"/>
              </w:rPr>
              <w:t>API requests per minute</w:t>
            </w:r>
          </w:p>
        </w:tc>
        <w:tc>
          <w:tcPr>
            <w:tcW w:type="dxa" w:w="1872"/>
          </w:tcPr>
          <w:p>
            <w:pPr>
              <w:spacing w:after="0" w:line="240" w:lineRule="auto"/>
            </w:pPr>
            <w:r>
              <w:rPr>
                <w:b w:val="0"/>
                <w:sz w:val="20"/>
              </w:rPr>
              <w:t>600</w:t>
            </w:r>
          </w:p>
        </w:tc>
        <w:tc>
          <w:tcPr>
            <w:tcW w:type="dxa" w:w="2160"/>
          </w:tcPr>
          <w:p>
            <w:pPr>
              <w:spacing w:after="0" w:line="240" w:lineRule="auto"/>
            </w:pPr>
            <w:r>
              <w:rPr>
                <w:b w:val="0"/>
                <w:sz w:val="20"/>
              </w:rPr>
              <w:t>6,000</w:t>
            </w:r>
          </w:p>
        </w:tc>
        <w:tc>
          <w:tcPr>
            <w:tcW w:type="dxa" w:w="2304"/>
          </w:tcPr>
          <w:p>
            <w:pPr>
              <w:spacing w:after="0" w:line="240" w:lineRule="auto"/>
            </w:pPr>
            <w:r>
              <w:rPr>
                <w:b w:val="0"/>
                <w:sz w:val="20"/>
              </w:rPr>
              <w:t>60,000</w:t>
            </w:r>
          </w:p>
        </w:tc>
      </w:tr>
      <w:tr>
        <w:tc>
          <w:tcPr>
            <w:tcW w:type="dxa" w:w="3024"/>
          </w:tcPr>
          <w:p>
            <w:pPr>
              <w:spacing w:after="0" w:line="240" w:lineRule="auto"/>
            </w:pPr>
            <w:r>
              <w:rPr>
                <w:b w:val="0"/>
                <w:sz w:val="20"/>
              </w:rPr>
              <w:t>Monthly uptime commitment</w:t>
            </w:r>
          </w:p>
        </w:tc>
        <w:tc>
          <w:tcPr>
            <w:tcW w:type="dxa" w:w="1872"/>
          </w:tcPr>
          <w:p>
            <w:pPr>
              <w:spacing w:after="0" w:line="240" w:lineRule="auto"/>
            </w:pPr>
            <w:r>
              <w:rPr>
                <w:b w:val="0"/>
                <w:sz w:val="20"/>
              </w:rPr>
              <w:t>99.5%</w:t>
            </w:r>
          </w:p>
        </w:tc>
        <w:tc>
          <w:tcPr>
            <w:tcW w:type="dxa" w:w="2160"/>
          </w:tcPr>
          <w:p>
            <w:pPr>
              <w:spacing w:after="0" w:line="240" w:lineRule="auto"/>
            </w:pPr>
            <w:r>
              <w:rPr>
                <w:b w:val="0"/>
                <w:sz w:val="20"/>
              </w:rPr>
              <w:t>99.9%</w:t>
            </w:r>
          </w:p>
        </w:tc>
        <w:tc>
          <w:tcPr>
            <w:tcW w:type="dxa" w:w="2304"/>
          </w:tcPr>
          <w:p>
            <w:pPr>
              <w:spacing w:after="0" w:line="240" w:lineRule="auto"/>
            </w:pPr>
            <w:r>
              <w:rPr>
                <w:b w:val="0"/>
                <w:sz w:val="20"/>
              </w:rPr>
              <w:t>99.99%</w:t>
            </w:r>
          </w:p>
        </w:tc>
      </w:tr>
      <w:tr>
        <w:tc>
          <w:tcPr>
            <w:tcW w:type="dxa" w:w="3024"/>
          </w:tcPr>
          <w:p>
            <w:pPr>
              <w:spacing w:after="0" w:line="240" w:lineRule="auto"/>
            </w:pPr>
            <w:r>
              <w:rPr>
                <w:b w:val="0"/>
                <w:sz w:val="20"/>
              </w:rPr>
              <w:t>SLA service credits</w:t>
            </w:r>
          </w:p>
        </w:tc>
        <w:tc>
          <w:tcPr>
            <w:tcW w:type="dxa" w:w="1872"/>
          </w:tcPr>
          <w:p>
            <w:pPr>
              <w:spacing w:after="0" w:line="240" w:lineRule="auto"/>
            </w:pPr>
            <w:r>
              <w:rPr>
                <w:b w:val="0"/>
                <w:sz w:val="20"/>
              </w:rPr>
              <w:t>No</w:t>
            </w:r>
          </w:p>
        </w:tc>
        <w:tc>
          <w:tcPr>
            <w:tcW w:type="dxa" w:w="2160"/>
          </w:tcPr>
          <w:p>
            <w:pPr>
              <w:spacing w:after="0" w:line="240" w:lineRule="auto"/>
            </w:pPr>
            <w:r>
              <w:rPr>
                <w:b w:val="0"/>
                <w:sz w:val="20"/>
              </w:rPr>
              <w:t>10% of monthly fee</w:t>
            </w:r>
          </w:p>
        </w:tc>
        <w:tc>
          <w:tcPr>
            <w:tcW w:type="dxa" w:w="2304"/>
          </w:tcPr>
          <w:p>
            <w:pPr>
              <w:spacing w:after="0" w:line="240" w:lineRule="auto"/>
            </w:pPr>
            <w:r>
              <w:rPr>
                <w:b w:val="0"/>
                <w:sz w:val="20"/>
              </w:rPr>
              <w:t>25% of monthly fee</w:t>
            </w:r>
          </w:p>
        </w:tc>
      </w:tr>
      <w:tr>
        <w:tc>
          <w:tcPr>
            <w:tcW w:type="dxa" w:w="3024"/>
          </w:tcPr>
          <w:p>
            <w:pPr>
              <w:spacing w:after="0" w:line="240" w:lineRule="auto"/>
            </w:pPr>
            <w:r>
              <w:rPr>
                <w:b w:val="0"/>
                <w:sz w:val="20"/>
              </w:rPr>
              <w:t>Support channels</w:t>
            </w:r>
          </w:p>
        </w:tc>
        <w:tc>
          <w:tcPr>
            <w:tcW w:type="dxa" w:w="1872"/>
          </w:tcPr>
          <w:p>
            <w:pPr>
              <w:spacing w:after="0" w:line="240" w:lineRule="auto"/>
            </w:pPr>
            <w:r>
              <w:rPr>
                <w:b w:val="0"/>
                <w:sz w:val="20"/>
              </w:rPr>
              <w:t>Email only</w:t>
            </w:r>
          </w:p>
        </w:tc>
        <w:tc>
          <w:tcPr>
            <w:tcW w:type="dxa" w:w="2160"/>
          </w:tcPr>
          <w:p>
            <w:pPr>
              <w:spacing w:after="0" w:line="240" w:lineRule="auto"/>
            </w:pPr>
            <w:r>
              <w:rPr>
                <w:b w:val="0"/>
                <w:sz w:val="20"/>
              </w:rPr>
              <w:t>Email and chat</w:t>
            </w:r>
          </w:p>
        </w:tc>
        <w:tc>
          <w:tcPr>
            <w:tcW w:type="dxa" w:w="2304"/>
          </w:tcPr>
          <w:p>
            <w:pPr>
              <w:spacing w:after="0" w:line="240" w:lineRule="auto"/>
            </w:pPr>
            <w:r>
              <w:rPr>
                <w:b w:val="0"/>
                <w:sz w:val="20"/>
              </w:rPr>
              <w:t>Email, chat and phone</w:t>
            </w:r>
          </w:p>
        </w:tc>
      </w:tr>
      <w:tr>
        <w:tc>
          <w:tcPr>
            <w:tcW w:type="dxa" w:w="3024"/>
          </w:tcPr>
          <w:p>
            <w:pPr>
              <w:spacing w:after="0" w:line="240" w:lineRule="auto"/>
            </w:pPr>
            <w:r>
              <w:rPr>
                <w:b w:val="0"/>
                <w:sz w:val="20"/>
              </w:rPr>
              <w:t>First response, severity 1</w:t>
            </w:r>
          </w:p>
        </w:tc>
        <w:tc>
          <w:tcPr>
            <w:tcW w:type="dxa" w:w="1872"/>
          </w:tcPr>
          <w:p>
            <w:pPr>
              <w:spacing w:after="0" w:line="240" w:lineRule="auto"/>
            </w:pPr>
            <w:r>
              <w:rPr>
                <w:b w:val="0"/>
                <w:sz w:val="20"/>
              </w:rPr>
              <w:t>1 business day</w:t>
            </w:r>
          </w:p>
        </w:tc>
        <w:tc>
          <w:tcPr>
            <w:tcW w:type="dxa" w:w="2160"/>
          </w:tcPr>
          <w:p>
            <w:pPr>
              <w:spacing w:after="0" w:line="240" w:lineRule="auto"/>
            </w:pPr>
            <w:r>
              <w:rPr>
                <w:b w:val="0"/>
                <w:sz w:val="20"/>
              </w:rPr>
              <w:t>4 hours</w:t>
            </w:r>
          </w:p>
        </w:tc>
        <w:tc>
          <w:tcPr>
            <w:tcW w:type="dxa" w:w="2304"/>
          </w:tcPr>
          <w:p>
            <w:pPr>
              <w:spacing w:after="0" w:line="240" w:lineRule="auto"/>
            </w:pPr>
            <w:r>
              <w:rPr>
                <w:b w:val="0"/>
                <w:sz w:val="20"/>
              </w:rPr>
              <w:t>30 minutes</w:t>
            </w:r>
          </w:p>
        </w:tc>
      </w:tr>
      <w:tr>
        <w:tc>
          <w:tcPr>
            <w:tcW w:type="dxa" w:w="3024"/>
          </w:tcPr>
          <w:p>
            <w:pPr>
              <w:spacing w:after="0" w:line="240" w:lineRule="auto"/>
            </w:pPr>
            <w:r>
              <w:rPr>
                <w:b w:val="0"/>
                <w:sz w:val="20"/>
              </w:rPr>
              <w:t>Round-the-clock support</w:t>
            </w:r>
          </w:p>
        </w:tc>
        <w:tc>
          <w:tcPr>
            <w:tcW w:type="dxa" w:w="1872"/>
          </w:tcPr>
          <w:p>
            <w:pPr>
              <w:spacing w:after="0" w:line="240" w:lineRule="auto"/>
            </w:pPr>
            <w:r>
              <w:rPr>
                <w:b w:val="0"/>
                <w:sz w:val="20"/>
              </w:rPr>
              <w:t>No</w:t>
            </w:r>
          </w:p>
        </w:tc>
        <w:tc>
          <w:tcPr>
            <w:tcW w:type="dxa" w:w="2160"/>
          </w:tcPr>
          <w:p>
            <w:pPr>
              <w:spacing w:after="0" w:line="240" w:lineRule="auto"/>
            </w:pPr>
            <w:r>
              <w:rPr>
                <w:b w:val="0"/>
                <w:sz w:val="20"/>
              </w:rPr>
              <w:t>No</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Technical account manager</w:t>
            </w:r>
          </w:p>
        </w:tc>
        <w:tc>
          <w:tcPr>
            <w:tcW w:type="dxa" w:w="1872"/>
          </w:tcPr>
          <w:p>
            <w:pPr>
              <w:spacing w:after="0" w:line="240" w:lineRule="auto"/>
            </w:pPr>
            <w:r>
              <w:rPr>
                <w:b w:val="0"/>
                <w:sz w:val="20"/>
              </w:rPr>
              <w:t>No</w:t>
            </w:r>
          </w:p>
        </w:tc>
        <w:tc>
          <w:tcPr>
            <w:tcW w:type="dxa" w:w="2160"/>
          </w:tcPr>
          <w:p>
            <w:pPr>
              <w:spacing w:after="0" w:line="240" w:lineRule="auto"/>
            </w:pPr>
            <w:r>
              <w:rPr>
                <w:b w:val="0"/>
                <w:sz w:val="20"/>
              </w:rPr>
              <w:t>No</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Onboarding sessions</w:t>
            </w:r>
          </w:p>
        </w:tc>
        <w:tc>
          <w:tcPr>
            <w:tcW w:type="dxa" w:w="1872"/>
          </w:tcPr>
          <w:p>
            <w:pPr>
              <w:spacing w:after="0" w:line="240" w:lineRule="auto"/>
            </w:pPr>
            <w:r>
              <w:rPr>
                <w:b w:val="0"/>
                <w:sz w:val="20"/>
              </w:rPr>
              <w:t>No</w:t>
            </w:r>
          </w:p>
        </w:tc>
        <w:tc>
          <w:tcPr>
            <w:tcW w:type="dxa" w:w="2160"/>
          </w:tcPr>
          <w:p>
            <w:pPr>
              <w:spacing w:after="0" w:line="240" w:lineRule="auto"/>
            </w:pPr>
            <w:r>
              <w:rPr>
                <w:b w:val="0"/>
                <w:sz w:val="20"/>
              </w:rPr>
              <w:t>1 session</w:t>
            </w:r>
          </w:p>
        </w:tc>
        <w:tc>
          <w:tcPr>
            <w:tcW w:type="dxa" w:w="2304"/>
          </w:tcPr>
          <w:p>
            <w:pPr>
              <w:spacing w:after="0" w:line="240" w:lineRule="auto"/>
            </w:pPr>
            <w:r>
              <w:rPr>
                <w:b w:val="0"/>
                <w:sz w:val="20"/>
              </w:rPr>
              <w:t>4 sessions</w:t>
            </w:r>
          </w:p>
        </w:tc>
      </w:tr>
      <w:tr>
        <w:tc>
          <w:tcPr>
            <w:tcW w:type="dxa" w:w="3024"/>
          </w:tcPr>
          <w:p>
            <w:pPr>
              <w:spacing w:after="0" w:line="240" w:lineRule="auto"/>
            </w:pPr>
            <w:r>
              <w:rPr>
                <w:b w:val="0"/>
                <w:sz w:val="20"/>
              </w:rPr>
              <w:t>Backup retention</w:t>
            </w:r>
          </w:p>
        </w:tc>
        <w:tc>
          <w:tcPr>
            <w:tcW w:type="dxa" w:w="1872"/>
          </w:tcPr>
          <w:p>
            <w:pPr>
              <w:spacing w:after="0" w:line="240" w:lineRule="auto"/>
            </w:pPr>
            <w:r>
              <w:rPr>
                <w:b w:val="0"/>
                <w:sz w:val="20"/>
              </w:rPr>
              <w:t>30 days</w:t>
            </w:r>
          </w:p>
        </w:tc>
        <w:tc>
          <w:tcPr>
            <w:tcW w:type="dxa" w:w="2160"/>
          </w:tcPr>
          <w:p>
            <w:pPr>
              <w:spacing w:after="0" w:line="240" w:lineRule="auto"/>
            </w:pPr>
            <w:r>
              <w:rPr>
                <w:b w:val="0"/>
                <w:sz w:val="20"/>
              </w:rPr>
              <w:t>90 days</w:t>
            </w:r>
          </w:p>
        </w:tc>
        <w:tc>
          <w:tcPr>
            <w:tcW w:type="dxa" w:w="2304"/>
          </w:tcPr>
          <w:p>
            <w:pPr>
              <w:spacing w:after="0" w:line="240" w:lineRule="auto"/>
            </w:pPr>
            <w:r>
              <w:rPr>
                <w:b w:val="0"/>
                <w:sz w:val="20"/>
              </w:rPr>
              <w:t>365 days</w:t>
            </w:r>
          </w:p>
        </w:tc>
      </w:tr>
      <w:tr>
        <w:tc>
          <w:tcPr>
            <w:tcW w:type="dxa" w:w="3024"/>
          </w:tcPr>
          <w:p>
            <w:pPr>
              <w:spacing w:after="0" w:line="240" w:lineRule="auto"/>
            </w:pPr>
            <w:r>
              <w:rPr>
                <w:b w:val="0"/>
                <w:sz w:val="20"/>
              </w:rPr>
              <w:t>Backup frequency</w:t>
            </w:r>
          </w:p>
        </w:tc>
        <w:tc>
          <w:tcPr>
            <w:tcW w:type="dxa" w:w="1872"/>
          </w:tcPr>
          <w:p>
            <w:pPr>
              <w:spacing w:after="0" w:line="240" w:lineRule="auto"/>
            </w:pPr>
            <w:r>
              <w:rPr>
                <w:b w:val="0"/>
                <w:sz w:val="20"/>
              </w:rPr>
              <w:t>Once a day</w:t>
            </w:r>
          </w:p>
        </w:tc>
        <w:tc>
          <w:tcPr>
            <w:tcW w:type="dxa" w:w="2160"/>
          </w:tcPr>
          <w:p>
            <w:pPr>
              <w:spacing w:after="0" w:line="240" w:lineRule="auto"/>
            </w:pPr>
            <w:r>
              <w:rPr>
                <w:b w:val="0"/>
                <w:sz w:val="20"/>
              </w:rPr>
              <w:t>Every 12 hours</w:t>
            </w:r>
          </w:p>
        </w:tc>
        <w:tc>
          <w:tcPr>
            <w:tcW w:type="dxa" w:w="2304"/>
          </w:tcPr>
          <w:p>
            <w:pPr>
              <w:spacing w:after="0" w:line="240" w:lineRule="auto"/>
            </w:pPr>
            <w:r>
              <w:rPr>
                <w:b w:val="0"/>
                <w:sz w:val="20"/>
              </w:rPr>
              <w:t>Every 6 hours</w:t>
            </w:r>
          </w:p>
        </w:tc>
      </w:tr>
      <w:tr>
        <w:tc>
          <w:tcPr>
            <w:tcW w:type="dxa" w:w="3024"/>
          </w:tcPr>
          <w:p>
            <w:pPr>
              <w:spacing w:after="0" w:line="240" w:lineRule="auto"/>
            </w:pPr>
            <w:r>
              <w:rPr>
                <w:b w:val="0"/>
                <w:sz w:val="20"/>
              </w:rPr>
              <w:t>Deleted resource recovery</w:t>
            </w:r>
          </w:p>
        </w:tc>
        <w:tc>
          <w:tcPr>
            <w:tcW w:type="dxa" w:w="1872"/>
          </w:tcPr>
          <w:p>
            <w:pPr>
              <w:spacing w:after="0" w:line="240" w:lineRule="auto"/>
            </w:pPr>
            <w:r>
              <w:rPr>
                <w:b w:val="0"/>
                <w:sz w:val="20"/>
              </w:rPr>
              <w:t>7 days</w:t>
            </w:r>
          </w:p>
        </w:tc>
        <w:tc>
          <w:tcPr>
            <w:tcW w:type="dxa" w:w="2160"/>
          </w:tcPr>
          <w:p>
            <w:pPr>
              <w:spacing w:after="0" w:line="240" w:lineRule="auto"/>
            </w:pPr>
            <w:r>
              <w:rPr>
                <w:b w:val="0"/>
                <w:sz w:val="20"/>
              </w:rPr>
              <w:t>14 days</w:t>
            </w:r>
          </w:p>
        </w:tc>
        <w:tc>
          <w:tcPr>
            <w:tcW w:type="dxa" w:w="2304"/>
          </w:tcPr>
          <w:p>
            <w:pPr>
              <w:spacing w:after="0" w:line="240" w:lineRule="auto"/>
            </w:pPr>
            <w:r>
              <w:rPr>
                <w:b w:val="0"/>
                <w:sz w:val="20"/>
              </w:rPr>
              <w:t>30 days</w:t>
            </w:r>
          </w:p>
        </w:tc>
      </w:tr>
      <w:tr>
        <w:tc>
          <w:tcPr>
            <w:tcW w:type="dxa" w:w="3024"/>
          </w:tcPr>
          <w:p>
            <w:pPr>
              <w:spacing w:after="0" w:line="240" w:lineRule="auto"/>
            </w:pPr>
            <w:r>
              <w:rPr>
                <w:b w:val="0"/>
                <w:sz w:val="20"/>
              </w:rPr>
              <w:t>Point-in-time restore</w:t>
            </w:r>
          </w:p>
        </w:tc>
        <w:tc>
          <w:tcPr>
            <w:tcW w:type="dxa" w:w="1872"/>
          </w:tcPr>
          <w:p>
            <w:pPr>
              <w:spacing w:after="0" w:line="240" w:lineRule="auto"/>
            </w:pPr>
            <w:r>
              <w:rPr>
                <w:b w:val="0"/>
                <w:sz w:val="20"/>
              </w:rPr>
              <w:t>No</w:t>
            </w:r>
          </w:p>
        </w:tc>
        <w:tc>
          <w:tcPr>
            <w:tcW w:type="dxa" w:w="2160"/>
          </w:tcPr>
          <w:p>
            <w:pPr>
              <w:spacing w:after="0" w:line="240" w:lineRule="auto"/>
            </w:pPr>
            <w:r>
              <w:rPr>
                <w:b w:val="0"/>
                <w:sz w:val="20"/>
              </w:rPr>
              <w:t>Yes</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Cross-region replication</w:t>
            </w:r>
          </w:p>
        </w:tc>
        <w:tc>
          <w:tcPr>
            <w:tcW w:type="dxa" w:w="1872"/>
          </w:tcPr>
          <w:p>
            <w:pPr>
              <w:spacing w:after="0" w:line="240" w:lineRule="auto"/>
            </w:pPr>
            <w:r>
              <w:rPr>
                <w:b w:val="0"/>
                <w:sz w:val="20"/>
              </w:rPr>
              <w:t>No</w:t>
            </w:r>
          </w:p>
        </w:tc>
        <w:tc>
          <w:tcPr>
            <w:tcW w:type="dxa" w:w="2160"/>
          </w:tcPr>
          <w:p>
            <w:pPr>
              <w:spacing w:after="0" w:line="240" w:lineRule="auto"/>
            </w:pPr>
            <w:r>
              <w:rPr>
                <w:b w:val="0"/>
                <w:sz w:val="20"/>
              </w:rPr>
              <w:t>Optional</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Single sign-on (SAML)</w:t>
            </w:r>
          </w:p>
        </w:tc>
        <w:tc>
          <w:tcPr>
            <w:tcW w:type="dxa" w:w="1872"/>
          </w:tcPr>
          <w:p>
            <w:pPr>
              <w:spacing w:after="0" w:line="240" w:lineRule="auto"/>
            </w:pPr>
            <w:r>
              <w:rPr>
                <w:b w:val="0"/>
                <w:sz w:val="20"/>
              </w:rPr>
              <w:t>No</w:t>
            </w:r>
          </w:p>
        </w:tc>
        <w:tc>
          <w:tcPr>
            <w:tcW w:type="dxa" w:w="2160"/>
          </w:tcPr>
          <w:p>
            <w:pPr>
              <w:spacing w:after="0" w:line="240" w:lineRule="auto"/>
            </w:pPr>
            <w:r>
              <w:rPr>
                <w:b w:val="0"/>
                <w:sz w:val="20"/>
              </w:rPr>
              <w:t>Yes</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Multi-factor authentication</w:t>
            </w:r>
          </w:p>
        </w:tc>
        <w:tc>
          <w:tcPr>
            <w:tcW w:type="dxa" w:w="1872"/>
          </w:tcPr>
          <w:p>
            <w:pPr>
              <w:spacing w:after="0" w:line="240" w:lineRule="auto"/>
            </w:pPr>
            <w:r>
              <w:rPr>
                <w:b w:val="0"/>
                <w:sz w:val="20"/>
              </w:rPr>
              <w:t>Yes</w:t>
            </w:r>
          </w:p>
        </w:tc>
        <w:tc>
          <w:tcPr>
            <w:tcW w:type="dxa" w:w="2160"/>
          </w:tcPr>
          <w:p>
            <w:pPr>
              <w:spacing w:after="0" w:line="240" w:lineRule="auto"/>
            </w:pPr>
            <w:r>
              <w:rPr>
                <w:b w:val="0"/>
                <w:sz w:val="20"/>
              </w:rPr>
              <w:t>Yes</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Role-based access control</w:t>
            </w:r>
          </w:p>
        </w:tc>
        <w:tc>
          <w:tcPr>
            <w:tcW w:type="dxa" w:w="1872"/>
          </w:tcPr>
          <w:p>
            <w:pPr>
              <w:spacing w:after="0" w:line="240" w:lineRule="auto"/>
            </w:pPr>
            <w:r>
              <w:rPr>
                <w:b w:val="0"/>
                <w:sz w:val="20"/>
              </w:rPr>
              <w:t>Fixed roles</w:t>
            </w:r>
          </w:p>
        </w:tc>
        <w:tc>
          <w:tcPr>
            <w:tcW w:type="dxa" w:w="2160"/>
          </w:tcPr>
          <w:p>
            <w:pPr>
              <w:spacing w:after="0" w:line="240" w:lineRule="auto"/>
            </w:pPr>
            <w:r>
              <w:rPr>
                <w:b w:val="0"/>
                <w:sz w:val="20"/>
              </w:rPr>
              <w:t>Custom roles</w:t>
            </w:r>
          </w:p>
        </w:tc>
        <w:tc>
          <w:tcPr>
            <w:tcW w:type="dxa" w:w="2304"/>
          </w:tcPr>
          <w:p>
            <w:pPr>
              <w:spacing w:after="0" w:line="240" w:lineRule="auto"/>
            </w:pPr>
            <w:r>
              <w:rPr>
                <w:b w:val="0"/>
                <w:sz w:val="20"/>
              </w:rPr>
              <w:t>Custom roles with approvals</w:t>
            </w:r>
          </w:p>
        </w:tc>
      </w:tr>
      <w:tr>
        <w:tc>
          <w:tcPr>
            <w:tcW w:type="dxa" w:w="3024"/>
          </w:tcPr>
          <w:p>
            <w:pPr>
              <w:spacing w:after="0" w:line="240" w:lineRule="auto"/>
            </w:pPr>
            <w:r>
              <w:rPr>
                <w:b w:val="0"/>
                <w:sz w:val="20"/>
              </w:rPr>
              <w:t>Audit log retention</w:t>
            </w:r>
          </w:p>
        </w:tc>
        <w:tc>
          <w:tcPr>
            <w:tcW w:type="dxa" w:w="1872"/>
          </w:tcPr>
          <w:p>
            <w:pPr>
              <w:spacing w:after="0" w:line="240" w:lineRule="auto"/>
            </w:pPr>
            <w:r>
              <w:rPr>
                <w:b w:val="0"/>
                <w:sz w:val="20"/>
              </w:rPr>
              <w:t>30 days</w:t>
            </w:r>
          </w:p>
        </w:tc>
        <w:tc>
          <w:tcPr>
            <w:tcW w:type="dxa" w:w="2160"/>
          </w:tcPr>
          <w:p>
            <w:pPr>
              <w:spacing w:after="0" w:line="240" w:lineRule="auto"/>
            </w:pPr>
            <w:r>
              <w:rPr>
                <w:b w:val="0"/>
                <w:sz w:val="20"/>
              </w:rPr>
              <w:t>6 months</w:t>
            </w:r>
          </w:p>
        </w:tc>
        <w:tc>
          <w:tcPr>
            <w:tcW w:type="dxa" w:w="2304"/>
          </w:tcPr>
          <w:p>
            <w:pPr>
              <w:spacing w:after="0" w:line="240" w:lineRule="auto"/>
            </w:pPr>
            <w:r>
              <w:rPr>
                <w:b w:val="0"/>
                <w:sz w:val="20"/>
              </w:rPr>
              <w:t>12 months</w:t>
            </w:r>
          </w:p>
        </w:tc>
      </w:tr>
      <w:tr>
        <w:tc>
          <w:tcPr>
            <w:tcW w:type="dxa" w:w="3024"/>
          </w:tcPr>
          <w:p>
            <w:pPr>
              <w:spacing w:after="0" w:line="240" w:lineRule="auto"/>
            </w:pPr>
            <w:r>
              <w:rPr>
                <w:b w:val="0"/>
                <w:sz w:val="20"/>
              </w:rPr>
              <w:t>Customer-managed encryption keys</w:t>
            </w:r>
          </w:p>
        </w:tc>
        <w:tc>
          <w:tcPr>
            <w:tcW w:type="dxa" w:w="1872"/>
          </w:tcPr>
          <w:p>
            <w:pPr>
              <w:spacing w:after="0" w:line="240" w:lineRule="auto"/>
            </w:pPr>
            <w:r>
              <w:rPr>
                <w:b w:val="0"/>
                <w:sz w:val="20"/>
              </w:rPr>
              <w:t>No</w:t>
            </w:r>
          </w:p>
        </w:tc>
        <w:tc>
          <w:tcPr>
            <w:tcW w:type="dxa" w:w="2160"/>
          </w:tcPr>
          <w:p>
            <w:pPr>
              <w:spacing w:after="0" w:line="240" w:lineRule="auto"/>
            </w:pPr>
            <w:r>
              <w:rPr>
                <w:b w:val="0"/>
                <w:sz w:val="20"/>
              </w:rPr>
              <w:t>No</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Private networking</w:t>
            </w:r>
          </w:p>
        </w:tc>
        <w:tc>
          <w:tcPr>
            <w:tcW w:type="dxa" w:w="1872"/>
          </w:tcPr>
          <w:p>
            <w:pPr>
              <w:spacing w:after="0" w:line="240" w:lineRule="auto"/>
            </w:pPr>
            <w:r>
              <w:rPr>
                <w:b w:val="0"/>
                <w:sz w:val="20"/>
              </w:rPr>
              <w:t>No</w:t>
            </w:r>
          </w:p>
        </w:tc>
        <w:tc>
          <w:tcPr>
            <w:tcW w:type="dxa" w:w="2160"/>
          </w:tcPr>
          <w:p>
            <w:pPr>
              <w:spacing w:after="0" w:line="240" w:lineRule="auto"/>
            </w:pPr>
            <w:r>
              <w:rPr>
                <w:b w:val="0"/>
                <w:sz w:val="20"/>
              </w:rPr>
              <w:t>Yes</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IP allow list size</w:t>
            </w:r>
          </w:p>
        </w:tc>
        <w:tc>
          <w:tcPr>
            <w:tcW w:type="dxa" w:w="1872"/>
          </w:tcPr>
          <w:p>
            <w:pPr>
              <w:spacing w:after="0" w:line="240" w:lineRule="auto"/>
            </w:pPr>
            <w:r>
              <w:rPr>
                <w:b w:val="0"/>
                <w:sz w:val="20"/>
              </w:rPr>
              <w:t>10 entries</w:t>
            </w:r>
          </w:p>
        </w:tc>
        <w:tc>
          <w:tcPr>
            <w:tcW w:type="dxa" w:w="2160"/>
          </w:tcPr>
          <w:p>
            <w:pPr>
              <w:spacing w:after="0" w:line="240" w:lineRule="auto"/>
            </w:pPr>
            <w:r>
              <w:rPr>
                <w:b w:val="0"/>
                <w:sz w:val="20"/>
              </w:rPr>
              <w:t>100 entries</w:t>
            </w:r>
          </w:p>
        </w:tc>
        <w:tc>
          <w:tcPr>
            <w:tcW w:type="dxa" w:w="2304"/>
          </w:tcPr>
          <w:p>
            <w:pPr>
              <w:spacing w:after="0" w:line="240" w:lineRule="auto"/>
            </w:pPr>
            <w:r>
              <w:rPr>
                <w:b w:val="0"/>
                <w:sz w:val="20"/>
              </w:rPr>
              <w:t>1,000 entries</w:t>
            </w:r>
          </w:p>
        </w:tc>
      </w:tr>
      <w:tr>
        <w:tc>
          <w:tcPr>
            <w:tcW w:type="dxa" w:w="3024"/>
          </w:tcPr>
          <w:p>
            <w:pPr>
              <w:spacing w:after="0" w:line="240" w:lineRule="auto"/>
            </w:pPr>
            <w:r>
              <w:rPr>
                <w:b w:val="0"/>
                <w:sz w:val="20"/>
              </w:rPr>
              <w:t>Compliance reports</w:t>
            </w:r>
          </w:p>
        </w:tc>
        <w:tc>
          <w:tcPr>
            <w:tcW w:type="dxa" w:w="1872"/>
          </w:tcPr>
          <w:p>
            <w:pPr>
              <w:spacing w:after="0" w:line="240" w:lineRule="auto"/>
            </w:pPr>
            <w:r>
              <w:rPr>
                <w:b w:val="0"/>
                <w:sz w:val="20"/>
              </w:rPr>
              <w:t>Public trust page</w:t>
            </w:r>
          </w:p>
        </w:tc>
        <w:tc>
          <w:tcPr>
            <w:tcW w:type="dxa" w:w="2160"/>
          </w:tcPr>
          <w:p>
            <w:pPr>
              <w:spacing w:after="0" w:line="240" w:lineRule="auto"/>
            </w:pPr>
            <w:r>
              <w:rPr>
                <w:b w:val="0"/>
                <w:sz w:val="20"/>
              </w:rPr>
              <w:t>SOC 2 summary</w:t>
            </w:r>
          </w:p>
        </w:tc>
        <w:tc>
          <w:tcPr>
            <w:tcW w:type="dxa" w:w="2304"/>
          </w:tcPr>
          <w:p>
            <w:pPr>
              <w:spacing w:after="0" w:line="240" w:lineRule="auto"/>
            </w:pPr>
            <w:r>
              <w:rPr>
                <w:b w:val="0"/>
                <w:sz w:val="20"/>
              </w:rPr>
              <w:t>SOC 2 Type II and ISO 27001</w:t>
            </w:r>
          </w:p>
        </w:tc>
      </w:tr>
      <w:tr>
        <w:tc>
          <w:tcPr>
            <w:tcW w:type="dxa" w:w="3024"/>
          </w:tcPr>
          <w:p>
            <w:pPr>
              <w:spacing w:after="0" w:line="240" w:lineRule="auto"/>
            </w:pPr>
            <w:r>
              <w:rPr>
                <w:b w:val="0"/>
                <w:sz w:val="20"/>
              </w:rPr>
              <w:t>Penetration test summary</w:t>
            </w:r>
          </w:p>
        </w:tc>
        <w:tc>
          <w:tcPr>
            <w:tcW w:type="dxa" w:w="1872"/>
          </w:tcPr>
          <w:p>
            <w:pPr>
              <w:spacing w:after="0" w:line="240" w:lineRule="auto"/>
            </w:pPr>
            <w:r>
              <w:rPr>
                <w:b w:val="0"/>
                <w:sz w:val="20"/>
              </w:rPr>
              <w:t>No</w:t>
            </w:r>
          </w:p>
        </w:tc>
        <w:tc>
          <w:tcPr>
            <w:tcW w:type="dxa" w:w="2160"/>
          </w:tcPr>
          <w:p>
            <w:pPr>
              <w:spacing w:after="0" w:line="240" w:lineRule="auto"/>
            </w:pPr>
            <w:r>
              <w:rPr>
                <w:b w:val="0"/>
                <w:sz w:val="20"/>
              </w:rPr>
              <w:t>No</w:t>
            </w:r>
          </w:p>
        </w:tc>
        <w:tc>
          <w:tcPr>
            <w:tcW w:type="dxa" w:w="2304"/>
          </w:tcPr>
          <w:p>
            <w:pPr>
              <w:spacing w:after="0" w:line="240" w:lineRule="auto"/>
            </w:pPr>
            <w:r>
              <w:rPr>
                <w:b w:val="0"/>
                <w:sz w:val="20"/>
              </w:rPr>
              <w:t>Yes</w:t>
            </w:r>
          </w:p>
        </w:tc>
      </w:tr>
      <w:tr>
        <w:tc>
          <w:tcPr>
            <w:tcW w:type="dxa" w:w="3024"/>
          </w:tcPr>
          <w:p>
            <w:pPr>
              <w:spacing w:after="0" w:line="240" w:lineRule="auto"/>
            </w:pPr>
            <w:r>
              <w:rPr>
                <w:b w:val="0"/>
                <w:sz w:val="20"/>
              </w:rPr>
              <w:t>Data residency choice</w:t>
            </w:r>
          </w:p>
        </w:tc>
        <w:tc>
          <w:tcPr>
            <w:tcW w:type="dxa" w:w="1872"/>
          </w:tcPr>
          <w:p>
            <w:pPr>
              <w:spacing w:after="0" w:line="240" w:lineRule="auto"/>
            </w:pPr>
            <w:r>
              <w:rPr>
                <w:b w:val="0"/>
                <w:sz w:val="20"/>
              </w:rPr>
              <w:t>Closest region</w:t>
            </w:r>
          </w:p>
        </w:tc>
        <w:tc>
          <w:tcPr>
            <w:tcW w:type="dxa" w:w="2160"/>
          </w:tcPr>
          <w:p>
            <w:pPr>
              <w:spacing w:after="0" w:line="240" w:lineRule="auto"/>
            </w:pPr>
            <w:r>
              <w:rPr>
                <w:b w:val="0"/>
                <w:sz w:val="20"/>
              </w:rPr>
              <w:t>3 regions</w:t>
            </w:r>
          </w:p>
        </w:tc>
        <w:tc>
          <w:tcPr>
            <w:tcW w:type="dxa" w:w="2304"/>
          </w:tcPr>
          <w:p>
            <w:pPr>
              <w:spacing w:after="0" w:line="240" w:lineRule="auto"/>
            </w:pPr>
            <w:r>
              <w:rPr>
                <w:b w:val="0"/>
                <w:sz w:val="20"/>
              </w:rPr>
              <w:t>14 regions</w:t>
            </w:r>
          </w:p>
        </w:tc>
      </w:tr>
      <w:tr>
        <w:tc>
          <w:tcPr>
            <w:tcW w:type="dxa" w:w="3024"/>
          </w:tcPr>
          <w:p>
            <w:pPr>
              <w:spacing w:after="0" w:line="240" w:lineRule="auto"/>
            </w:pPr>
            <w:r>
              <w:rPr>
                <w:b w:val="0"/>
                <w:sz w:val="20"/>
              </w:rPr>
              <w:t>Team workspaces</w:t>
            </w:r>
          </w:p>
        </w:tc>
        <w:tc>
          <w:tcPr>
            <w:tcW w:type="dxa" w:w="1872"/>
          </w:tcPr>
          <w:p>
            <w:pPr>
              <w:spacing w:after="0" w:line="240" w:lineRule="auto"/>
            </w:pPr>
            <w:r>
              <w:rPr>
                <w:b w:val="0"/>
                <w:sz w:val="20"/>
              </w:rPr>
              <w:t>1</w:t>
            </w:r>
          </w:p>
        </w:tc>
        <w:tc>
          <w:tcPr>
            <w:tcW w:type="dxa" w:w="2160"/>
          </w:tcPr>
          <w:p>
            <w:pPr>
              <w:spacing w:after="0" w:line="240" w:lineRule="auto"/>
            </w:pPr>
            <w:r>
              <w:rPr>
                <w:b w:val="0"/>
                <w:sz w:val="20"/>
              </w:rPr>
              <w:t>10</w:t>
            </w:r>
          </w:p>
        </w:tc>
        <w:tc>
          <w:tcPr>
            <w:tcW w:type="dxa" w:w="2304"/>
          </w:tcPr>
          <w:p>
            <w:pPr>
              <w:spacing w:after="0" w:line="240" w:lineRule="auto"/>
            </w:pPr>
            <w:r>
              <w:rPr>
                <w:b w:val="0"/>
                <w:sz w:val="20"/>
              </w:rPr>
              <w:t>100</w:t>
            </w:r>
          </w:p>
        </w:tc>
      </w:tr>
      <w:tr>
        <w:tc>
          <w:tcPr>
            <w:tcW w:type="dxa" w:w="3024"/>
          </w:tcPr>
          <w:p>
            <w:pPr>
              <w:spacing w:after="0" w:line="240" w:lineRule="auto"/>
            </w:pPr>
            <w:r>
              <w:rPr>
                <w:b w:val="0"/>
                <w:sz w:val="20"/>
              </w:rPr>
              <w:t>Usage alerts</w:t>
            </w:r>
          </w:p>
        </w:tc>
        <w:tc>
          <w:tcPr>
            <w:tcW w:type="dxa" w:w="1872"/>
          </w:tcPr>
          <w:p>
            <w:pPr>
              <w:spacing w:after="0" w:line="240" w:lineRule="auto"/>
            </w:pPr>
            <w:r>
              <w:rPr>
                <w:b w:val="0"/>
                <w:sz w:val="20"/>
              </w:rPr>
              <w:t>Email</w:t>
            </w:r>
          </w:p>
        </w:tc>
        <w:tc>
          <w:tcPr>
            <w:tcW w:type="dxa" w:w="2160"/>
          </w:tcPr>
          <w:p>
            <w:pPr>
              <w:spacing w:after="0" w:line="240" w:lineRule="auto"/>
            </w:pPr>
            <w:r>
              <w:rPr>
                <w:b w:val="0"/>
                <w:sz w:val="20"/>
              </w:rPr>
              <w:t>Email and Slack</w:t>
            </w:r>
          </w:p>
        </w:tc>
        <w:tc>
          <w:tcPr>
            <w:tcW w:type="dxa" w:w="2304"/>
          </w:tcPr>
          <w:p>
            <w:pPr>
              <w:spacing w:after="0" w:line="240" w:lineRule="auto"/>
            </w:pPr>
            <w:r>
              <w:rPr>
                <w:b w:val="0"/>
                <w:sz w:val="20"/>
              </w:rPr>
              <w:t>Email, Slack and PagerDuty</w:t>
            </w:r>
          </w:p>
        </w:tc>
      </w:tr>
      <w:tr>
        <w:tc>
          <w:tcPr>
            <w:tcW w:type="dxa" w:w="3024"/>
          </w:tcPr>
          <w:p>
            <w:pPr>
              <w:spacing w:after="0" w:line="240" w:lineRule="auto"/>
            </w:pPr>
            <w:r>
              <w:rPr>
                <w:b w:val="0"/>
                <w:sz w:val="20"/>
              </w:rPr>
              <w:t>Invoice payment</w:t>
            </w:r>
          </w:p>
        </w:tc>
        <w:tc>
          <w:tcPr>
            <w:tcW w:type="dxa" w:w="1872"/>
          </w:tcPr>
          <w:p>
            <w:pPr>
              <w:spacing w:after="0" w:line="240" w:lineRule="auto"/>
            </w:pPr>
            <w:r>
              <w:rPr>
                <w:b w:val="0"/>
                <w:sz w:val="20"/>
              </w:rPr>
              <w:t>Card only</w:t>
            </w:r>
          </w:p>
        </w:tc>
        <w:tc>
          <w:tcPr>
            <w:tcW w:type="dxa" w:w="2160"/>
          </w:tcPr>
          <w:p>
            <w:pPr>
              <w:spacing w:after="0" w:line="240" w:lineRule="auto"/>
            </w:pPr>
            <w:r>
              <w:rPr>
                <w:b w:val="0"/>
                <w:sz w:val="20"/>
              </w:rPr>
              <w:t>Card or invoice</w:t>
            </w:r>
          </w:p>
        </w:tc>
        <w:tc>
          <w:tcPr>
            <w:tcW w:type="dxa" w:w="2304"/>
          </w:tcPr>
          <w:p>
            <w:pPr>
              <w:spacing w:after="0" w:line="240" w:lineRule="auto"/>
            </w:pPr>
            <w:r>
              <w:rPr>
                <w:b w:val="0"/>
                <w:sz w:val="20"/>
              </w:rPr>
              <w:t>Card, invoice or purchase order</w:t>
            </w:r>
          </w:p>
        </w:tc>
      </w:tr>
    </w:tbl>
    <w:p>
      <w:r>
        <w:t>Limits in the table apply per account unless stated otherwise. Add-ons such as extra storage and additional read replicas are priced in the Billing section.</w:t>
      </w:r>
    </w:p>
    <w:p>
      <w:pPr>
        <w:pStyle w:val="Heading1"/>
      </w:pPr>
      <w:r>
        <w:t>Support</w:t>
      </w:r>
    </w:p>
    <w:p>
      <w:pPr>
        <w:pStyle w:val="Heading2"/>
      </w:pPr>
      <w:r>
        <w:t>Response times</w:t>
      </w:r>
    </w:p>
    <w:p>
      <w:r>
        <w:t>Support requests are classified into four severity levels. Severity 1 means a production system is down or data is at risk, and severity 4 is a general question. Target first-response times for severity 1 are 1 business day on Basic, 4 hours on Team and 30 minutes on Enterprise.</w:t>
      </w:r>
    </w:p>
    <w:p>
      <w:r>
        <w:t>Enterprise customers can reach an engineer by phone at any hour, every day of the year. Team and Basic requests are handled between 06:00 and 20:00 UTC on weekdays, and requests that arrive outside those hours wait until the next working morning.</w:t>
      </w:r>
    </w:p>
    <w:p>
      <w:pPr>
        <w:pStyle w:val="Heading2"/>
      </w:pPr>
      <w:r>
        <w:t>Channels and account management</w:t>
      </w:r>
    </w:p>
    <w:p>
      <w:r>
        <w:t>Basic includes email support only. Team adds live chat from the Northwind console, and Enterprise adds a dedicated phone line and a shared Slack channel with our on-call engineers.</w:t>
      </w:r>
    </w:p>
    <w:p>
      <w:r>
        <w:t>Each Enterprise account has a named technical account manager who holds a review call every quarter, covering usage, incidents and upcoming product changes. Team accounts receive one onboarding session in their first month, and Enterprise accounts receive four sessions spread over their first quarter.</w:t>
      </w:r>
    </w:p>
    <w:p>
      <w:r>
        <w:t>The public status page at status.northwind.example lists incidents as they are confirmed and keeps a history of the last 24 months. Subscribers to the page receive updates by email or webhook.</w:t>
      </w:r>
    </w:p>
    <w:p>
      <w:pPr>
        <w:pStyle w:val="Heading1"/>
      </w:pPr>
      <w:r>
        <w:t>Data retention and backups</w:t>
      </w:r>
    </w:p>
    <w:p>
      <w:pPr>
        <w:pStyle w:val="Heading2"/>
      </w:pPr>
      <w:r>
        <w:t>Backups</w:t>
      </w:r>
    </w:p>
    <w:p>
      <w:r>
        <w:t>Enterprise backups are kept for 365 days; Team backups for 90 days; Basic for 30 days. Backups are taken automatically and stored in a second region that is at least 400 kilometres from the primary one.</w:t>
      </w:r>
    </w:p>
    <w:p>
      <w:r>
        <w:t>Basic databases are backed up once a day, Team databases every 12 hours and Enterprise databases every 6 hours. Team and Enterprise customers can also restore a database to any second within the retention window, using point-in-time restore.</w:t>
      </w:r>
    </w:p>
    <w:p>
      <w:r>
        <w:t>Northwind restores a random sample of backups every week to confirm that they can be read. Failed restore tests open an internal incident, and customers affected by a failed test are notified within 24 hours.</w:t>
      </w:r>
    </w:p>
    <w:p>
      <w:pPr>
        <w:pStyle w:val="Heading2"/>
      </w:pPr>
      <w:r>
        <w:t>Deleted resources and closed accounts</w:t>
      </w:r>
    </w:p>
    <w:p>
      <w:r>
        <w:t>A deleted resource can be recovered for 7 days on Basic, 14 days on Team and 30 days on Enterprise. After that period the resource can only be rebuilt from a backup.</w:t>
      </w:r>
    </w:p>
    <w:p>
      <w:r>
        <w:t>When an account is closed, Northwind keeps its data for 60 days so that the owner can export it. On day 61 the data is deleted from production systems, and a deletion certificate is sent to the account owner on request.</w:t>
      </w:r>
    </w:p>
    <w:p>
      <w:r>
        <w:t>Audit logs are kept for 30 days on Basic, 6 months on Team and 12 months on Enterprise. Logs can be exported to your own storage at any time, and exported logs are not affected by these limits.</w:t>
      </w:r>
    </w:p>
    <w:p>
      <w:pPr>
        <w:pStyle w:val="Heading1"/>
      </w:pPr>
      <w:r>
        <w:t>Security</w:t>
      </w:r>
    </w:p>
    <w:p>
      <w:pPr>
        <w:pStyle w:val="Heading2"/>
      </w:pPr>
      <w:r>
        <w:t>Encryption and access</w:t>
      </w:r>
    </w:p>
    <w:p>
      <w:r>
        <w:t>All data is encrypted with AES-256 at rest and with TLS 1.3 in transit. Enterprise customers can supply their own encryption keys, which they can revoke at any time; revoking a key makes the data unreadable within 15 minutes.</w:t>
      </w:r>
    </w:p>
    <w:p>
      <w:r>
        <w:t>Multi-factor authentication is required for every administrator on every plan. Single sign-on through SAML 2.0 is available on Team and Enterprise, and sessions end after 8 hours of inactivity unless the account owner sets a shorter limit.</w:t>
      </w:r>
    </w:p>
    <w:p>
      <w:r>
        <w:t>Private networking lets resources talk to each other without crossing the public internet, and it is available on Team and Enterprise. IP allow lists are limited to 10 entries on Basic, 100 on Team and 1,000 on Enterprise.</w:t>
      </w:r>
    </w:p>
    <w:p>
      <w:pPr>
        <w:pStyle w:val="Heading2"/>
      </w:pPr>
      <w:r>
        <w:t>Assurance</w:t>
      </w:r>
    </w:p>
    <w:p>
      <w:r>
        <w:t>Northwind is audited every year against SOC 2 Type II and ISO 27001. Enterprise customers receive the full SOC 2 Type II report and the ISO 27001 certificate under a non-disclosure agreement, Team customers receive a summary of the SOC 2 findings, and Basic customers can read the public trust page.</w:t>
      </w:r>
    </w:p>
    <w:p>
      <w:r>
        <w:t>An independent firm performs a penetration test of the platform once a year, and Enterprise customers can read the executive summary of its results. Critical vulnerabilities found by the test are fixed within 7 days, and high-severity ones within 30 days.</w:t>
      </w:r>
    </w:p>
    <w:p>
      <w:r>
        <w:t>Customers choose where their data is stored. Enterprise customers can pick any of the 14 regions, Team customers can pick from 3 regions in their continent, and Basic accounts are placed in the region closest to the account owner.</w:t>
      </w:r>
    </w:p>
    <w:p>
      <w:pPr>
        <w:pStyle w:val="Heading1"/>
      </w:pPr>
      <w:r>
        <w:t>Billing</w:t>
      </w:r>
    </w:p>
    <w:p>
      <w:pPr>
        <w:pStyle w:val="Heading2"/>
      </w:pPr>
      <w:r>
        <w:t>Prices and invoices</w:t>
      </w:r>
    </w:p>
    <w:p>
      <w:r>
        <w:t>Basic costs $12 per user per month, Team costs $29 per user per month and Enterprise costs $58 per user per month. Prices are in US dollars and exclude taxes, which are added at checkout based on the billing address.</w:t>
      </w:r>
    </w:p>
    <w:p>
      <w:r>
        <w:t>Invoices are issued on the first day of each month and are due within 30 days. Basic accounts pay by card only, Team accounts can pay by card or invoice, and Enterprise accounts can also pay by purchase order. Payments received more than 15 days late incur a charge of 1.5% of the amount due.</w:t>
      </w:r>
    </w:p>
    <w:p>
      <w:pPr>
        <w:pStyle w:val="Heading2"/>
      </w:pPr>
      <w:r>
        <w:t>Discounts, overages and credits</w:t>
      </w:r>
    </w:p>
    <w:p>
      <w:r>
        <w:t>Annual prepayment earns a discount of 10% on Team and 15% on Enterprise. Basic is not discounted, and multi-year Enterprise contracts lock the per-user price for the full term.</w:t>
      </w:r>
    </w:p>
    <w:p>
      <w:r>
        <w:t>Storage beyond the included amount costs $0.021 per GB per month, and egress beyond the included bandwidth costs $0.05 per GB. Usage alerts at 80% and 100% of each allowance are sent to the account owner so that charges are never a surprise.</w:t>
      </w:r>
    </w:p>
    <w:p>
      <w:r>
        <w:t>If monthly availability falls below 99.9%, Team customers receive a service credit of 10% of that month's fee. If it falls below 99.99%, Enterprise customers receive a credit of 25%. Credits must be requested within 30 days of the end of the affected month and are applied to the next invoice.</w:t>
      </w:r>
    </w:p>
    <w:p>
      <w:r>
        <w:t>Cancellations require 30 days' written notice on monthly contracts. Annual contracts end on their anniversary date and are not refunded for the unused remainder of the term.</w:t>
      </w:r>
    </w:p>
    <w:p>
      <w:r>
        <w:t>Questions about this document can be sent to plans@northwind.example.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Documents for chunking experiment</dc:creator>
  <cp:keywords/>
  <dc:description>generated by python-docx</dc:description>
  <cp:lastModifiedBy/>
  <cp:revision>1</cp:revision>
  <dcterms:created xsi:type="dcterms:W3CDTF">2026-01-01T00:00:00Z</dcterms:created>
  <dcterms:modified xsi:type="dcterms:W3CDTF">2026-01-01T00:00:00Z</dcterms:modified>
  <cp:category/>
</cp:coreProperties>
</file>