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Common Statistical Terms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is a set of categories. The statistical task of predicting which discrete category an observation or record belongs 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 the inputs and output, occurring as observations of "variables"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computational and statistical efficiency required of the problem space. Statistical - minimal number of records needed to achieve the desired statistical accuracy. Computational - how much time do you need to learn the relationship between inputs and outputs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way of maximizing the predictive value of inputs. Specifically, the creation of new random variables from those already observed in the dataset with the specific aim of achieving a higher degree of accuracy and/or greater precision for a predictive model.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Loss Function/Error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way to measure the quality of the outputs. Reflects the success of a statistical model. Ideally this is connected to the respective business goal or desired task performance. 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Programming a computer to run a statistical model repeatedly (i.e., train it) in order to find the weighting/combination of inputs that optimally reduces or minimizes the loss/error function associated with your output.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a relationship between inputs and outputs that is idiosyncratic to that sample. Results with a lower likelihood of generalizing to a new set of records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(or Confidence) Interval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Measuring the uncertainty of the outputs. Allows us to measure uncertainty in the output. A interval which ought to contain the "true" value of the parameter being estimated XX% of the time, assuming the model is correct. 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Predictive Model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 mathematical equation or a computer program that takes an input and generates an 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is an on order of continuous magnitude. How much does X affect 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Sampling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Means of gathering inputs and outputs by drawing a smaller number of units from some larger set, in such a way, that the smaller set has properties which represent the entire, larger set.  When done properly - helps ensure that you learn the correct relationship between inputs and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Inputs. Statistical models in which the true answer (i.e., label, value) is explicitly observed in your data. Part of the input is the targeted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Unsupervised Learning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Inputs. Statistical models in which the true answer (i.e., label, value) is NOT explicitly observed in your data (e.g., clustering)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