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Platformă Anti-Risipă Alimentară în Chișinău</w:t>
      </w:r>
    </w:p>
    <w:p>
      <w:pPr>
        <w:pStyle w:val="Heading2"/>
        <w:rPr/>
      </w:pPr>
      <w:r>
        <w:rPr/>
        <w:t>1. Introducere</w:t>
      </w:r>
    </w:p>
    <w:p>
      <w:pPr>
        <w:pStyle w:val="Normal"/>
        <w:rPr/>
      </w:pPr>
      <w:r>
        <w:rPr/>
        <w:t xml:space="preserve">Raportul prezintă analiza problemei risipei alimentare în mediul urban și propune o platformă digitală care conectează restaurantele, magazinele și alte unități alimentare cu consumatorii interesați să cumpere produse la preț redus înainte ca acestea să fie aruncate. Proiectul este orientat spre municipiul Chișinău, unde problema risipei și lipsa soluțiilor moderne reprezintă o oportunitate majoră de inovare. </w:t>
      </w:r>
      <w:r>
        <w:rPr/>
        <w:t xml:space="preserve">În viitor, se poate extinde și în alte orașe majore, de aceea s-a menționat o listă de alte locații. </w:t>
      </w:r>
    </w:p>
    <w:p>
      <w:pPr>
        <w:pStyle w:val="Heading2"/>
        <w:rPr/>
      </w:pPr>
      <w:r>
        <w:rPr/>
        <w:t>2. Problema risipei alimentare</w:t>
      </w:r>
    </w:p>
    <w:p>
      <w:pPr>
        <w:pStyle w:val="Normal"/>
        <w:rPr/>
      </w:pPr>
      <w:r>
        <w:rPr/>
        <w:t>Risipa alimentară reprezintă una dintre cele mai semnificative probleme la nivel global, contribuind la pierderi economice majore și la creșterea impactului asupra mediului. În orașele moderne, restaurantele, cafenelele, brutăriile și supermarketurile generează cantități mari de produse care, din motive logistice sau comerciale, nu mai pot fi vândute la preț standard înainte de închiderea programului. Deși sunt încă perfect consumabile, aceste produse ajung deseori să fie aruncate.</w:t>
      </w:r>
    </w:p>
    <w:p>
      <w:pPr>
        <w:pStyle w:val="Heading2"/>
        <w:rPr/>
      </w:pPr>
      <w:r>
        <w:rPr/>
        <w:t>3. Context local: Chișinău, Moldova</w:t>
      </w:r>
    </w:p>
    <w:p>
      <w:pPr>
        <w:pStyle w:val="Normal"/>
        <w:rPr/>
      </w:pPr>
      <w:r>
        <w:rPr/>
        <w:t>În Chișinău, datele oficiale privind risipa nu sunt centralizate, însă mediul HoReCa este într-o continuă expansiune, iar supermarketurile au un flux ridicat de produse alimentare. Din cauza lipsei unor soluții digitale eficiente, majoritatea surplusului ajunge fie la gunoi, fie este donat în mod neorganizat. În același timp, populația urbană devine tot mai interesată de prețuri accesibile, iar tendințele internaționale demonstrează că aplicațiile anti-risipă pot avea succes rapid.</w:t>
      </w:r>
    </w:p>
    <w:p>
      <w:pPr>
        <w:pStyle w:val="Heading2"/>
        <w:rPr/>
      </w:pPr>
      <w:r>
        <w:rPr/>
        <w:t>4. Analiza competitorilor</w:t>
      </w:r>
    </w:p>
    <w:p>
      <w:pPr>
        <w:pStyle w:val="Normal"/>
        <w:rPr/>
      </w:pPr>
      <w:r>
        <w:rPr/>
        <w:t>Pe piața din Chișinău nu există platforme specializate pe vânzarea surplusului alimentar, precum Too Good To Go în Europa. Totuși, există câteva inițiative indirecte:</w:t>
      </w:r>
    </w:p>
    <w:p>
      <w:pPr>
        <w:pStyle w:val="Normal"/>
        <w:rPr/>
      </w:pPr>
      <w:r>
        <w:rPr/>
        <w:t xml:space="preserve">• </w:t>
      </w:r>
      <w:r>
        <w:rPr/>
        <w:t xml:space="preserve">Platforme de donație alimentară – diverse ONG-uri </w:t>
      </w:r>
      <w:r>
        <w:rPr/>
        <w:t xml:space="preserve">(ex: Banca de Alimente) </w:t>
      </w:r>
      <w:r>
        <w:rPr/>
        <w:t>oferă mecanisme pentru donarea alimentelor, dar nu gestionarea vânzării surplusului.</w:t>
      </w:r>
    </w:p>
    <w:p>
      <w:pPr>
        <w:pStyle w:val="Normal"/>
        <w:rPr/>
      </w:pPr>
      <w:r>
        <w:rPr/>
        <w:t xml:space="preserve">• </w:t>
      </w:r>
      <w:r>
        <w:rPr/>
        <w:t>Grupuri locale pe rețele sociale – comunități unde afacerile postează ocazional reduceri rapide, însă fără o platformă dedicată.</w:t>
      </w:r>
    </w:p>
    <w:p>
      <w:pPr>
        <w:pStyle w:val="Normal"/>
        <w:rPr/>
      </w:pPr>
      <w:r>
        <w:rPr/>
        <w:t xml:space="preserve">• </w:t>
      </w:r>
      <w:r>
        <w:rPr/>
        <w:t>Servicii de livrare – aplicații precum Glovo oferă reduceri, dar nu gestionează în mod special surplusul alimentar.</w:t>
      </w:r>
    </w:p>
    <w:p>
      <w:pPr>
        <w:pStyle w:val="Normal"/>
        <w:rPr/>
      </w:pPr>
      <w:r>
        <w:rPr/>
        <w:t>Concluzia analizei competitorilor arată că piața este aproape liberă pentru o platformă anti-risipă dedicată, ceea ce reprezintă un avantaj semnificativ pentru dezvoltarea rapidă.</w:t>
      </w:r>
    </w:p>
    <w:p>
      <w:pPr>
        <w:pStyle w:val="Heading2"/>
        <w:rPr/>
      </w:pPr>
      <w:r>
        <w:rPr/>
        <w:t>5. Soluția propusă: Platforma Anti-Risipă</w:t>
      </w:r>
    </w:p>
    <w:p>
      <w:pPr>
        <w:pStyle w:val="Normal"/>
        <w:rPr/>
      </w:pPr>
      <w:r>
        <w:rPr/>
        <w:t>Soluția constă într-o platformă (aplicație mobilă + website) care permite restaurantelor, magazinelor și altor operatori economici să listeze produsele rămase la finalul zilei la prețuri reduse. Consumatorii pot vedea ofertele disponibile în funcție de locație și pot rezerva sau cumpăra direct pachetele disponibile. Beneficiile includ economii financiare pentru clienți, reducerea risipei și creșterea profitului pentru afaceri din produse care altfel ar fi pierdute.</w:t>
      </w:r>
    </w:p>
    <w:p>
      <w:pPr>
        <w:pStyle w:val="Heading2"/>
        <w:rPr/>
      </w:pPr>
      <w:r>
        <w:rPr/>
        <w:t>6. Analiza SWOT</w:t>
      </w:r>
    </w:p>
    <w:p>
      <w:pPr>
        <w:pStyle w:val="ListBullet"/>
        <w:numPr>
          <w:ilvl w:val="0"/>
          <w:numId w:val="1"/>
        </w:numPr>
        <w:rPr/>
      </w:pPr>
      <w:r>
        <w:rPr/>
        <w:t>Puncte tari (Strengths)</w:t>
      </w:r>
    </w:p>
    <w:p>
      <w:pPr>
        <w:pStyle w:val="ListContinue"/>
        <w:rPr/>
      </w:pPr>
      <w:r>
        <w:rPr/>
        <w:t xml:space="preserve">• </w:t>
      </w:r>
      <w:r>
        <w:rPr/>
        <w:t>Lipsa competitorilor direcți în zona comercială anti-risipă.</w:t>
      </w:r>
    </w:p>
    <w:p>
      <w:pPr>
        <w:pStyle w:val="ListContinue"/>
        <w:rPr/>
      </w:pPr>
      <w:r>
        <w:rPr/>
        <w:t xml:space="preserve">• </w:t>
      </w:r>
      <w:r>
        <w:rPr/>
        <w:t>Impact social și ecologic ridicat, ușor de promovat.</w:t>
      </w:r>
    </w:p>
    <w:p>
      <w:pPr>
        <w:pStyle w:val="ListContinue"/>
        <w:rPr/>
      </w:pPr>
      <w:r>
        <w:rPr/>
        <w:t xml:space="preserve">• </w:t>
      </w:r>
      <w:r>
        <w:rPr/>
        <w:t>Costuri operaționale reduse și scalabilitate mare.</w:t>
      </w:r>
    </w:p>
    <w:p>
      <w:pPr>
        <w:pStyle w:val="ListContinue"/>
        <w:rPr/>
      </w:pPr>
      <w:r>
        <w:rPr/>
        <w:t xml:space="preserve">• </w:t>
      </w:r>
      <w:r>
        <w:rPr/>
        <w:t>Model win-win pentru afaceri și consumatori.</w:t>
      </w:r>
    </w:p>
    <w:p>
      <w:pPr>
        <w:pStyle w:val="ListBullet"/>
        <w:numPr>
          <w:ilvl w:val="0"/>
          <w:numId w:val="1"/>
        </w:numPr>
        <w:rPr/>
      </w:pPr>
      <w:r>
        <w:rPr/>
        <w:t>Puncte slabe (Weaknesses)</w:t>
      </w:r>
    </w:p>
    <w:p>
      <w:pPr>
        <w:pStyle w:val="ListContinue"/>
        <w:rPr/>
      </w:pPr>
      <w:r>
        <w:rPr/>
        <w:t xml:space="preserve">• </w:t>
      </w:r>
      <w:r>
        <w:rPr/>
        <w:t>Necesitatea educării pieței cu privire la conceptul de surplus alimentar.</w:t>
      </w:r>
    </w:p>
    <w:p>
      <w:pPr>
        <w:pStyle w:val="ListContinue"/>
        <w:rPr/>
      </w:pPr>
      <w:r>
        <w:rPr/>
        <w:t xml:space="preserve">• </w:t>
      </w:r>
      <w:r>
        <w:rPr/>
        <w:t>Variabilitatea stocurilor zilnice.</w:t>
      </w:r>
    </w:p>
    <w:p>
      <w:pPr>
        <w:pStyle w:val="ListContinue"/>
        <w:rPr/>
      </w:pPr>
      <w:r>
        <w:rPr/>
        <w:t xml:space="preserve">• </w:t>
      </w:r>
      <w:r>
        <w:rPr/>
        <w:t>Nivelul de încredere redus în “mâncare rămasă”.</w:t>
      </w:r>
    </w:p>
    <w:p>
      <w:pPr>
        <w:pStyle w:val="ListContinue"/>
        <w:rPr/>
      </w:pPr>
      <w:r>
        <w:rPr/>
        <w:t xml:space="preserve">• </w:t>
      </w:r>
      <w:r>
        <w:rPr/>
        <w:t>Unele afaceri pot întârzia actualizarea ofertelor.</w:t>
      </w:r>
    </w:p>
    <w:p>
      <w:pPr>
        <w:pStyle w:val="ListBullet"/>
        <w:numPr>
          <w:ilvl w:val="0"/>
          <w:numId w:val="1"/>
        </w:numPr>
        <w:rPr/>
      </w:pPr>
      <w:r>
        <w:rPr/>
        <w:t>Oportunități (Opportunities)</w:t>
      </w:r>
    </w:p>
    <w:p>
      <w:pPr>
        <w:pStyle w:val="ListContinue"/>
        <w:rPr/>
      </w:pPr>
      <w:r>
        <w:rPr/>
        <w:t xml:space="preserve">• </w:t>
      </w:r>
      <w:r>
        <w:rPr/>
        <w:t>Piață locală neacoperită – avantaj de first mover.</w:t>
      </w:r>
    </w:p>
    <w:p>
      <w:pPr>
        <w:pStyle w:val="ListContinue"/>
        <w:rPr/>
      </w:pPr>
      <w:r>
        <w:rPr/>
        <w:t xml:space="preserve">• </w:t>
      </w:r>
      <w:r>
        <w:rPr/>
        <w:t>Creșterea interesului pentru sustenabilitate.</w:t>
      </w:r>
    </w:p>
    <w:p>
      <w:pPr>
        <w:pStyle w:val="ListContinue"/>
        <w:rPr/>
      </w:pPr>
      <w:r>
        <w:rPr/>
        <w:t xml:space="preserve">• </w:t>
      </w:r>
      <w:r>
        <w:rPr/>
        <w:t>Posibilitatea atragerii de granturi europene sau locale.</w:t>
      </w:r>
    </w:p>
    <w:p>
      <w:pPr>
        <w:pStyle w:val="ListContinue"/>
        <w:rPr/>
      </w:pPr>
      <w:r>
        <w:rPr/>
        <w:t xml:space="preserve">• </w:t>
      </w:r>
      <w:r>
        <w:rPr/>
        <w:t>Parteneriate cu lanțuri mari de restaurante și supermarketuri.</w:t>
      </w:r>
    </w:p>
    <w:p>
      <w:pPr>
        <w:pStyle w:val="ListBullet"/>
        <w:numPr>
          <w:ilvl w:val="0"/>
          <w:numId w:val="1"/>
        </w:numPr>
        <w:rPr/>
      </w:pPr>
      <w:r>
        <w:rPr/>
        <w:t>Amenințări (Threats)</w:t>
      </w:r>
    </w:p>
    <w:p>
      <w:pPr>
        <w:pStyle w:val="ListContinue"/>
        <w:rPr/>
      </w:pPr>
      <w:r>
        <w:rPr/>
        <w:t xml:space="preserve">• </w:t>
      </w:r>
      <w:r>
        <w:rPr/>
        <w:t>Intrarea pe piață a unui competitor internațional.</w:t>
      </w:r>
    </w:p>
    <w:p>
      <w:pPr>
        <w:pStyle w:val="ListContinue"/>
        <w:rPr/>
      </w:pPr>
      <w:r>
        <w:rPr/>
        <w:t xml:space="preserve">• </w:t>
      </w:r>
      <w:r>
        <w:rPr/>
        <w:t>Reglementări stricte privind siguranța alimentară.</w:t>
      </w:r>
    </w:p>
    <w:p>
      <w:pPr>
        <w:pStyle w:val="ListContinue"/>
        <w:rPr/>
      </w:pPr>
      <w:r>
        <w:rPr/>
        <w:t xml:space="preserve">• </w:t>
      </w:r>
      <w:r>
        <w:rPr/>
        <w:t>Preferința unor afaceri pentru donație în locul vânzării.</w:t>
      </w:r>
    </w:p>
    <w:p>
      <w:pPr>
        <w:pStyle w:val="ListContinue"/>
        <w:rPr/>
      </w:pPr>
      <w:r>
        <w:rPr/>
        <w:t xml:space="preserve">• </w:t>
      </w:r>
      <w:r>
        <w:rPr/>
        <w:t>Posibile fluctuații de cerere.</w:t>
      </w:r>
    </w:p>
    <w:p>
      <w:pPr>
        <w:pStyle w:val="ListContinue"/>
        <w:rPr/>
      </w:pPr>
      <w:r>
        <w:rPr/>
      </w:r>
    </w:p>
    <w:p>
      <w:pPr>
        <w:pStyle w:val="ListContinue"/>
        <w:rPr/>
      </w:pPr>
      <w:r>
        <w:rPr/>
        <w:t>Profilul Clientului Țintă – Maria Rotaru</w:t>
      </w:r>
    </w:p>
    <w:p>
      <w:pPr>
        <w:pStyle w:val="ListContinue"/>
        <w:rPr/>
      </w:pPr>
      <w:r>
        <w:rPr/>
      </w:r>
    </w:p>
    <w:p>
      <w:pPr>
        <w:pStyle w:val="ListContinue"/>
        <w:rPr/>
      </w:pPr>
      <w:r>
        <w:rPr/>
        <w:t>Nume: Maria Rotaru</w:t>
      </w:r>
    </w:p>
    <w:p>
      <w:pPr>
        <w:pStyle w:val="ListContinue"/>
        <w:rPr/>
      </w:pPr>
      <w:r>
        <w:rPr/>
        <w:t>Vârstă: 20 ani</w:t>
      </w:r>
    </w:p>
    <w:p>
      <w:pPr>
        <w:pStyle w:val="ListContinue"/>
        <w:rPr/>
      </w:pPr>
      <w:r>
        <w:rPr/>
        <w:t>Locație: Chișinău</w:t>
      </w:r>
    </w:p>
    <w:p>
      <w:pPr>
        <w:pStyle w:val="ListContinue"/>
        <w:rPr/>
      </w:pPr>
      <w:r>
        <w:rPr/>
        <w:t>Stare civilă: Necăsătorită</w:t>
      </w:r>
    </w:p>
    <w:p>
      <w:pPr>
        <w:pStyle w:val="ListContinue"/>
        <w:rPr/>
      </w:pPr>
      <w:r>
        <w:rPr/>
        <w:t>Profesie: Studentă la Economie, venit redus</w:t>
      </w:r>
    </w:p>
    <w:p>
      <w:pPr>
        <w:pStyle w:val="ListContinue"/>
        <w:rPr/>
      </w:pPr>
      <w:r>
        <w:rPr/>
        <w:t>Locuire: Cămin studențesc</w:t>
      </w:r>
    </w:p>
    <w:p>
      <w:pPr>
        <w:pStyle w:val="ListContinue"/>
        <w:rPr/>
      </w:pPr>
      <w:r>
        <w:rPr/>
      </w:r>
    </w:p>
    <w:p>
      <w:pPr>
        <w:pStyle w:val="ListContinue"/>
        <w:rPr/>
      </w:pPr>
      <w:r>
        <w:rPr/>
        <w:t>Comportament &amp; Stil de viață</w:t>
      </w:r>
    </w:p>
    <w:p>
      <w:pPr>
        <w:pStyle w:val="ListContinue"/>
        <w:rPr/>
      </w:pPr>
      <w:r>
        <w:rPr/>
      </w:r>
    </w:p>
    <w:p>
      <w:pPr>
        <w:pStyle w:val="ListContinue"/>
        <w:rPr/>
      </w:pPr>
      <w:r>
        <w:rPr/>
        <w:t>Gătește rar din lipsă de timp și resurse</w:t>
      </w:r>
    </w:p>
    <w:p>
      <w:pPr>
        <w:pStyle w:val="ListContinue"/>
        <w:rPr/>
      </w:pPr>
      <w:r>
        <w:rPr/>
      </w:r>
    </w:p>
    <w:p>
      <w:pPr>
        <w:pStyle w:val="ListContinue"/>
        <w:rPr/>
      </w:pPr>
      <w:r>
        <w:rPr/>
        <w:t>Cumpără mâncare gătită ocazional, doar când există oferte</w:t>
      </w:r>
    </w:p>
    <w:p>
      <w:pPr>
        <w:pStyle w:val="ListContinue"/>
        <w:rPr/>
      </w:pPr>
      <w:r>
        <w:rPr/>
      </w:r>
    </w:p>
    <w:p>
      <w:pPr>
        <w:pStyle w:val="ListContinue"/>
        <w:rPr/>
      </w:pPr>
      <w:r>
        <w:rPr/>
        <w:t>Folosește frecvent aplicații digitale pentru cumpărături și transport</w:t>
      </w:r>
    </w:p>
    <w:p>
      <w:pPr>
        <w:pStyle w:val="ListContinue"/>
        <w:rPr/>
      </w:pPr>
      <w:r>
        <w:rPr/>
      </w:r>
    </w:p>
    <w:p>
      <w:pPr>
        <w:pStyle w:val="ListContinue"/>
        <w:rPr/>
      </w:pPr>
      <w:r>
        <w:rPr/>
        <w:t>Sensibilă la preț, preferă soluții rapide și accesibile</w:t>
      </w:r>
    </w:p>
    <w:p>
      <w:pPr>
        <w:pStyle w:val="ListContinue"/>
        <w:rPr/>
      </w:pPr>
      <w:r>
        <w:rPr/>
      </w:r>
    </w:p>
    <w:p>
      <w:pPr>
        <w:pStyle w:val="ListContinue"/>
        <w:rPr/>
      </w:pPr>
      <w:r>
        <w:rPr/>
        <w:t>Obiective</w:t>
      </w:r>
    </w:p>
    <w:p>
      <w:pPr>
        <w:pStyle w:val="ListContinue"/>
        <w:rPr/>
      </w:pPr>
      <w:r>
        <w:rPr/>
      </w:r>
    </w:p>
    <w:p>
      <w:pPr>
        <w:pStyle w:val="ListContinue"/>
        <w:rPr/>
      </w:pPr>
      <w:r>
        <w:rPr/>
        <w:t>Reducerea cheltuielilor pentru mâncare</w:t>
      </w:r>
    </w:p>
    <w:p>
      <w:pPr>
        <w:pStyle w:val="ListContinue"/>
        <w:rPr/>
      </w:pPr>
      <w:r>
        <w:rPr/>
      </w:r>
    </w:p>
    <w:p>
      <w:pPr>
        <w:pStyle w:val="ListContinue"/>
        <w:rPr/>
      </w:pPr>
      <w:r>
        <w:rPr/>
        <w:t>Adoptarea unui stil de viață sustenabil</w:t>
      </w:r>
    </w:p>
    <w:p>
      <w:pPr>
        <w:pStyle w:val="ListContinue"/>
        <w:rPr/>
      </w:pPr>
      <w:r>
        <w:rPr/>
      </w:r>
    </w:p>
    <w:p>
      <w:pPr>
        <w:pStyle w:val="ListContinue"/>
        <w:rPr/>
      </w:pPr>
      <w:r>
        <w:rPr/>
        <w:t>Acces la mâncare variată fără a depăși bugetul lunar</w:t>
      </w:r>
    </w:p>
    <w:p>
      <w:pPr>
        <w:pStyle w:val="ListContinue"/>
        <w:rPr/>
      </w:pPr>
      <w:r>
        <w:rPr/>
      </w:r>
    </w:p>
    <w:p>
      <w:pPr>
        <w:pStyle w:val="ListContinue"/>
        <w:rPr/>
      </w:pPr>
      <w:r>
        <w:rPr/>
        <w:t>Provocări</w:t>
      </w:r>
    </w:p>
    <w:p>
      <w:pPr>
        <w:pStyle w:val="ListContinue"/>
        <w:rPr/>
      </w:pPr>
      <w:r>
        <w:rPr/>
      </w:r>
    </w:p>
    <w:p>
      <w:pPr>
        <w:pStyle w:val="ListContinue"/>
        <w:rPr/>
      </w:pPr>
      <w:r>
        <w:rPr/>
        <w:t>Buget foarte limitat</w:t>
      </w:r>
    </w:p>
    <w:p>
      <w:pPr>
        <w:pStyle w:val="ListContinue"/>
        <w:rPr/>
      </w:pPr>
      <w:r>
        <w:rPr/>
      </w:r>
    </w:p>
    <w:p>
      <w:pPr>
        <w:pStyle w:val="ListContinue"/>
        <w:rPr/>
      </w:pPr>
      <w:r>
        <w:rPr/>
        <w:t>Puțin timp pentru gătit</w:t>
      </w:r>
    </w:p>
    <w:p>
      <w:pPr>
        <w:pStyle w:val="ListContinue"/>
        <w:rPr/>
      </w:pPr>
      <w:r>
        <w:rPr/>
      </w:r>
    </w:p>
    <w:p>
      <w:pPr>
        <w:pStyle w:val="ListContinue"/>
        <w:rPr/>
      </w:pPr>
      <w:r>
        <w:rPr/>
        <w:t>Îngrijorări privind prospețimea și calitatea produselor rămase</w:t>
      </w:r>
    </w:p>
    <w:p>
      <w:pPr>
        <w:pStyle w:val="ListContinue"/>
        <w:rPr/>
      </w:pPr>
      <w:r>
        <w:rPr/>
      </w:r>
    </w:p>
    <w:p>
      <w:pPr>
        <w:pStyle w:val="ListContinue"/>
        <w:rPr/>
      </w:pPr>
      <w:r>
        <w:rPr/>
        <w:t>Lipsa informațiilor clare despre ingrediente și data preparării</w:t>
      </w:r>
    </w:p>
    <w:p>
      <w:pPr>
        <w:pStyle w:val="ListContinue"/>
        <w:rPr/>
      </w:pPr>
      <w:r>
        <w:rPr/>
      </w:r>
    </w:p>
    <w:p>
      <w:pPr>
        <w:pStyle w:val="ListContinue"/>
        <w:rPr/>
      </w:pPr>
      <w:r>
        <w:rPr/>
        <w:t>Căutări și Interese</w:t>
      </w:r>
    </w:p>
    <w:p>
      <w:pPr>
        <w:pStyle w:val="ListContinue"/>
        <w:rPr/>
      </w:pPr>
      <w:r>
        <w:rPr/>
      </w:r>
    </w:p>
    <w:p>
      <w:pPr>
        <w:pStyle w:val="ListContinue"/>
        <w:rPr/>
      </w:pPr>
      <w:r>
        <w:rPr/>
        <w:t>Aplicații mobile simple, cu notificări despre oferte</w:t>
      </w:r>
    </w:p>
    <w:p>
      <w:pPr>
        <w:pStyle w:val="ListContinue"/>
        <w:rPr/>
      </w:pPr>
      <w:r>
        <w:rPr/>
      </w:r>
    </w:p>
    <w:p>
      <w:pPr>
        <w:pStyle w:val="ListContinue"/>
        <w:rPr/>
      </w:pPr>
      <w:r>
        <w:rPr/>
        <w:t>Etichete clare (ingrediente, alergeni, dată)</w:t>
      </w:r>
    </w:p>
    <w:p>
      <w:pPr>
        <w:pStyle w:val="ListContinue"/>
        <w:rPr/>
      </w:pPr>
      <w:r>
        <w:rPr/>
      </w:r>
    </w:p>
    <w:p>
      <w:pPr>
        <w:pStyle w:val="ListContinue"/>
        <w:rPr/>
      </w:pPr>
      <w:r>
        <w:rPr/>
        <w:t>Puncte de ridicare rapide, ideal aproape de facultate sau cămin</w:t>
      </w:r>
    </w:p>
    <w:p>
      <w:pPr>
        <w:pStyle w:val="ListContinue"/>
        <w:rPr/>
      </w:pPr>
      <w:r>
        <w:rPr/>
      </w:r>
    </w:p>
    <w:p>
      <w:pPr>
        <w:pStyle w:val="ListContinue"/>
        <w:rPr/>
      </w:pPr>
      <w:r>
        <w:rPr/>
        <w:t>Prețuri reduse (preferabil sub 50 lei / porție)</w:t>
      </w:r>
    </w:p>
    <w:p>
      <w:pPr>
        <w:pStyle w:val="ListContinue"/>
        <w:rPr/>
      </w:pPr>
      <w:r>
        <w:rPr/>
      </w:r>
    </w:p>
    <w:p>
      <w:pPr>
        <w:pStyle w:val="ListContinue"/>
        <w:rPr/>
      </w:pPr>
      <w:r>
        <w:rPr/>
        <w:t>Motive de Cumpărare</w:t>
      </w:r>
    </w:p>
    <w:p>
      <w:pPr>
        <w:pStyle w:val="ListContinue"/>
        <w:rPr/>
      </w:pPr>
      <w:r>
        <w:rPr/>
      </w:r>
    </w:p>
    <w:p>
      <w:pPr>
        <w:pStyle w:val="ListContinue"/>
        <w:rPr/>
      </w:pPr>
      <w:r>
        <w:rPr/>
        <w:t>Preț accesibil</w:t>
      </w:r>
    </w:p>
    <w:p>
      <w:pPr>
        <w:pStyle w:val="ListContinue"/>
        <w:rPr/>
      </w:pPr>
      <w:r>
        <w:rPr/>
      </w:r>
    </w:p>
    <w:p>
      <w:pPr>
        <w:pStyle w:val="ListContinue"/>
        <w:rPr/>
      </w:pPr>
      <w:r>
        <w:rPr/>
        <w:t>Conveniență și economie de timp</w:t>
      </w:r>
    </w:p>
    <w:p>
      <w:pPr>
        <w:pStyle w:val="ListContinue"/>
        <w:rPr/>
      </w:pPr>
      <w:r>
        <w:rPr/>
      </w:r>
    </w:p>
    <w:p>
      <w:pPr>
        <w:pStyle w:val="ListContinue"/>
        <w:rPr/>
      </w:pPr>
      <w:r>
        <w:rPr/>
        <w:t>Impact pozitiv asupra mediului</w:t>
      </w:r>
    </w:p>
    <w:p>
      <w:pPr>
        <w:pStyle w:val="ListContinue"/>
        <w:rPr/>
      </w:pPr>
      <w:r>
        <w:rPr/>
      </w:r>
    </w:p>
    <w:p>
      <w:pPr>
        <w:pStyle w:val="ListContinue"/>
        <w:rPr/>
      </w:pPr>
      <w:r>
        <w:rPr/>
        <w:t>Recomandări din partea colegilor și comunităților online</w:t>
      </w:r>
    </w:p>
    <w:p>
      <w:pPr>
        <w:pStyle w:val="ListContinue"/>
        <w:rPr/>
      </w:pPr>
      <w:r>
        <w:rPr/>
      </w:r>
    </w:p>
    <w:p>
      <w:pPr>
        <w:pStyle w:val="ListContinue"/>
        <w:rPr/>
      </w:pPr>
      <w:r>
        <w:rPr/>
        <w:t>Comportament de Utilizare</w:t>
      </w:r>
    </w:p>
    <w:p>
      <w:pPr>
        <w:pStyle w:val="ListContinue"/>
        <w:rPr/>
      </w:pPr>
      <w:r>
        <w:rPr/>
      </w:r>
    </w:p>
    <w:p>
      <w:pPr>
        <w:pStyle w:val="ListContinue"/>
        <w:rPr/>
      </w:pPr>
      <w:r>
        <w:rPr/>
        <w:t>Ar folosi aplicația cel puțin 1 dată pe săptămână</w:t>
      </w:r>
    </w:p>
    <w:p>
      <w:pPr>
        <w:pStyle w:val="ListContinue"/>
        <w:rPr/>
      </w:pPr>
      <w:r>
        <w:rPr/>
      </w:r>
    </w:p>
    <w:p>
      <w:pPr>
        <w:pStyle w:val="ListContinue"/>
        <w:rPr/>
      </w:pPr>
      <w:r>
        <w:rPr/>
        <w:t>Este dispusă să recomande platforma altora</w:t>
      </w:r>
    </w:p>
    <w:p>
      <w:pPr>
        <w:pStyle w:val="ListContinue"/>
        <w:rPr/>
      </w:pPr>
      <w:r>
        <w:rPr/>
      </w:r>
    </w:p>
    <w:p>
      <w:pPr>
        <w:pStyle w:val="ListContinue"/>
        <w:rPr/>
      </w:pPr>
      <w:r>
        <w:rPr/>
        <w:t>Preferă interfață intuitivă și transparență totală</w:t>
      </w:r>
    </w:p>
    <w:p>
      <w:pPr>
        <w:pStyle w:val="ListContinue"/>
        <w:rPr/>
      </w:pPr>
      <w:r>
        <w:rPr/>
      </w:r>
    </w:p>
    <w:p>
      <w:pPr>
        <w:pStyle w:val="ListContinue"/>
        <w:rPr/>
      </w:pPr>
      <w:r>
        <w:rPr/>
        <w:t xml:space="preserve">Localuri Preferate: </w:t>
      </w:r>
    </w:p>
    <w:p>
      <w:pPr>
        <w:pStyle w:val="ListContinue"/>
        <w:rPr/>
      </w:pPr>
      <w:r>
        <w:rPr/>
        <w:t xml:space="preserve">Supermarketuri, </w:t>
      </w:r>
      <w:r>
        <w:rPr/>
        <w:t>p</w:t>
      </w:r>
      <w:r>
        <w:rPr/>
        <w:t xml:space="preserve">atiserii, </w:t>
      </w:r>
      <w:r>
        <w:rPr/>
        <w:t>r</w:t>
      </w:r>
      <w:r>
        <w:rPr/>
        <w:t xml:space="preserve">estaurante accesibile, </w:t>
      </w:r>
      <w:r>
        <w:rPr/>
        <w:t>c</w:t>
      </w:r>
      <w:r>
        <w:rPr/>
        <w:t>afenele</w:t>
      </w:r>
    </w:p>
    <w:p>
      <w:pPr>
        <w:pStyle w:val="ListContinue"/>
        <w:rPr/>
      </w:pPr>
      <w:r>
        <w:rPr/>
      </w:r>
    </w:p>
    <w:p>
      <w:pPr>
        <w:pStyle w:val="ListContinue"/>
        <w:rPr/>
      </w:pPr>
      <w:r>
        <w:rPr/>
        <w:t>7. Analiza TAM SAM SOM</w:t>
      </w:r>
    </w:p>
    <w:p>
      <w:pPr>
        <w:pStyle w:val="NoSpacing"/>
        <w:rPr>
          <w:b/>
          <w:b/>
          <w:bCs/>
          <w:sz w:val="28"/>
          <w:szCs w:val="28"/>
          <w:lang w:eastAsia="ro-MD"/>
        </w:rPr>
      </w:pPr>
      <w:r>
        <w:rPr>
          <w:b/>
          <w:bCs/>
          <w:sz w:val="28"/>
          <w:szCs w:val="28"/>
          <w:lang w:eastAsia="ro-MD"/>
        </w:rPr>
        <w:t>1) TAM – Piața Globală</w:t>
      </w:r>
    </w:p>
    <w:p>
      <w:pPr>
        <w:pStyle w:val="NoSpacing"/>
        <w:rPr>
          <w:i/>
          <w:i/>
          <w:iCs/>
          <w:sz w:val="24"/>
          <w:szCs w:val="24"/>
          <w:lang w:eastAsia="ro-MD"/>
        </w:rPr>
      </w:pPr>
      <w:r>
        <w:rPr>
          <w:i/>
          <w:iCs/>
          <w:sz w:val="24"/>
          <w:szCs w:val="24"/>
          <w:lang w:eastAsia="ro-MD"/>
        </w:rPr>
        <w:t>TAM reprezintă toți potențialii utilizatori ai unei aplicații de „surplus alimentar” la nivel mondial.</w:t>
      </w:r>
    </w:p>
    <w:p>
      <w:pPr>
        <w:pStyle w:val="NoSpacing"/>
        <w:rPr>
          <w:sz w:val="27"/>
          <w:szCs w:val="27"/>
          <w:lang w:eastAsia="ro-MD"/>
        </w:rPr>
      </w:pPr>
      <w:r>
        <w:rPr>
          <w:sz w:val="27"/>
          <w:szCs w:val="27"/>
          <w:lang w:eastAsia="ro-MD"/>
        </w:rPr>
        <w:t>Date relevante:</w:t>
      </w:r>
    </w:p>
    <w:p>
      <w:pPr>
        <w:pStyle w:val="NoSpacing"/>
        <w:numPr>
          <w:ilvl w:val="0"/>
          <w:numId w:val="5"/>
        </w:numPr>
        <w:rPr>
          <w:sz w:val="24"/>
          <w:szCs w:val="24"/>
          <w:lang w:eastAsia="ro-MD"/>
        </w:rPr>
      </w:pPr>
      <w:r>
        <w:rPr>
          <w:sz w:val="24"/>
          <w:szCs w:val="24"/>
          <w:lang w:eastAsia="ro-MD"/>
        </w:rPr>
        <w:t>Populația urbană globală:                                                               ~4,4 miliarde oameni</w:t>
      </w:r>
    </w:p>
    <w:p>
      <w:pPr>
        <w:pStyle w:val="NoSpacing"/>
        <w:numPr>
          <w:ilvl w:val="0"/>
          <w:numId w:val="5"/>
        </w:numPr>
        <w:rPr>
          <w:sz w:val="24"/>
          <w:szCs w:val="24"/>
          <w:lang w:eastAsia="ro-MD"/>
        </w:rPr>
      </w:pPr>
      <w:r>
        <w:rPr>
          <w:sz w:val="24"/>
          <w:szCs w:val="24"/>
          <w:lang w:eastAsia="ro-MD"/>
        </w:rPr>
        <w:t>Populație cu acces la aplicații de food delivery:                          ~2,5 miliarde oameni</w:t>
      </w:r>
    </w:p>
    <w:p>
      <w:pPr>
        <w:pStyle w:val="NoSpacing"/>
        <w:numPr>
          <w:ilvl w:val="0"/>
          <w:numId w:val="5"/>
        </w:numPr>
        <w:rPr>
          <w:sz w:val="24"/>
          <w:szCs w:val="24"/>
          <w:lang w:eastAsia="ro-MD"/>
        </w:rPr>
      </w:pPr>
      <w:r>
        <w:rPr>
          <w:sz w:val="24"/>
          <w:szCs w:val="24"/>
          <w:lang w:eastAsia="ro-MD"/>
        </w:rPr>
        <w:t xml:space="preserve">Piața globală de online food delivery </w:t>
      </w:r>
    </w:p>
    <w:p>
      <w:pPr>
        <w:pStyle w:val="NoSpacing"/>
        <w:numPr>
          <w:ilvl w:val="0"/>
          <w:numId w:val="5"/>
        </w:numPr>
        <w:rPr>
          <w:sz w:val="24"/>
          <w:szCs w:val="24"/>
          <w:lang w:eastAsia="ro-MD"/>
        </w:rPr>
      </w:pPr>
      <w:r>
        <w:rPr>
          <w:sz w:val="24"/>
          <w:szCs w:val="24"/>
          <w:lang w:eastAsia="ro-MD"/>
        </w:rPr>
        <w:t>(include și segmentul „surplus food”):                                           ~289 miliarde USD / an</w:t>
      </w:r>
    </w:p>
    <w:p>
      <w:pPr>
        <w:pStyle w:val="NoSpacing"/>
        <w:rPr>
          <w:sz w:val="24"/>
          <w:szCs w:val="24"/>
          <w:lang w:eastAsia="ro-MD"/>
        </w:rPr>
      </w:pPr>
      <w:r>
        <w:rPr>
          <w:sz w:val="24"/>
          <w:szCs w:val="24"/>
          <w:lang w:eastAsia="ro-MD"/>
        </w:rPr>
      </w:r>
    </w:p>
    <w:p>
      <w:pPr>
        <w:pStyle w:val="NoSpacing"/>
        <w:rPr>
          <w:sz w:val="27"/>
          <w:szCs w:val="27"/>
          <w:lang w:eastAsia="ro-MD"/>
        </w:rPr>
      </w:pPr>
      <w:r>
        <w:rPr>
          <w:sz w:val="27"/>
          <w:szCs w:val="27"/>
          <w:lang w:eastAsia="ro-MD"/>
        </w:rPr>
        <w:t>Concluzie TAM:</w:t>
      </w:r>
    </w:p>
    <w:p>
      <w:pPr>
        <w:pStyle w:val="NoSpacing"/>
        <w:rPr>
          <w:sz w:val="24"/>
          <w:szCs w:val="24"/>
          <w:lang w:eastAsia="ro-MD"/>
        </w:rPr>
      </w:pPr>
      <w:r>
        <w:rPr>
          <w:sz w:val="24"/>
          <w:szCs w:val="24"/>
          <w:lang w:eastAsia="ro-MD"/>
        </w:rPr>
        <w:t>TAM = întreaga piață globală ~289 miliarde USD/an</w:t>
        <w:br/>
        <w:t>≈ 4,89 trilioane MDL/an</w:t>
      </w:r>
    </w:p>
    <w:p>
      <w:pPr>
        <w:pStyle w:val="NoSpacing"/>
        <w:rPr>
          <w:rFonts w:ascii="Segoe UI Emoji" w:hAnsi="Segoe UI Emoji" w:cs="Segoe UI Emoji"/>
          <w:lang w:eastAsia="ro-MD"/>
        </w:rPr>
      </w:pPr>
      <w:r>
        <w:rPr>
          <w:rFonts w:cs="Segoe UI Emoji" w:ascii="Segoe UI Emoji" w:hAnsi="Segoe UI Emoji"/>
          <w:lang w:eastAsia="ro-MD"/>
        </w:rPr>
      </w:r>
    </w:p>
    <w:p>
      <w:pPr>
        <w:pStyle w:val="NoSpacing"/>
        <w:rPr>
          <w:b/>
          <w:b/>
          <w:bCs/>
          <w:sz w:val="28"/>
          <w:szCs w:val="28"/>
          <w:lang w:eastAsia="ro-MD"/>
        </w:rPr>
      </w:pPr>
      <w:r>
        <w:rPr>
          <w:b/>
          <w:bCs/>
          <w:sz w:val="28"/>
          <w:szCs w:val="28"/>
          <w:lang w:eastAsia="ro-MD"/>
        </w:rPr>
        <w:t xml:space="preserve"> </w:t>
      </w:r>
      <w:r>
        <w:rPr>
          <w:b/>
          <w:bCs/>
          <w:sz w:val="28"/>
          <w:szCs w:val="28"/>
          <w:lang w:eastAsia="ro-MD"/>
        </w:rPr>
        <w:t>2) SAM – Piața Regională (Orașele mari din Moldova)</w:t>
      </w:r>
    </w:p>
    <w:p>
      <w:pPr>
        <w:pStyle w:val="NoSpacing"/>
        <w:rPr>
          <w:i/>
          <w:i/>
          <w:iCs/>
          <w:sz w:val="24"/>
          <w:szCs w:val="24"/>
          <w:lang w:eastAsia="ro-MD"/>
        </w:rPr>
      </w:pPr>
      <w:r>
        <w:rPr>
          <w:i/>
          <w:iCs/>
          <w:sz w:val="24"/>
          <w:szCs w:val="24"/>
          <w:lang w:eastAsia="ro-MD"/>
        </w:rPr>
        <w:t>SAM = segmentul de piață care poate fi servit.</w:t>
      </w:r>
    </w:p>
    <w:p>
      <w:pPr>
        <w:pStyle w:val="NoSpacing"/>
        <w:rPr>
          <w:i/>
          <w:i/>
          <w:iCs/>
          <w:sz w:val="24"/>
          <w:szCs w:val="24"/>
          <w:lang w:eastAsia="ro-MD"/>
        </w:rPr>
      </w:pPr>
      <w:r>
        <w:rPr>
          <w:i/>
          <w:iCs/>
          <w:sz w:val="24"/>
          <w:szCs w:val="24"/>
          <w:lang w:eastAsia="ro-MD"/>
        </w:rPr>
      </w:r>
    </w:p>
    <w:p>
      <w:pPr>
        <w:pStyle w:val="NoSpacing"/>
        <w:rPr>
          <w:sz w:val="27"/>
          <w:szCs w:val="27"/>
          <w:lang w:eastAsia="ro-MD"/>
        </w:rPr>
      </w:pPr>
      <w:r>
        <w:rPr>
          <w:sz w:val="27"/>
          <w:szCs w:val="27"/>
          <w:lang w:eastAsia="ro-MD"/>
        </w:rPr>
        <w:t>Orașe care intră în SAM:</w:t>
      </w:r>
    </w:p>
    <w:p>
      <w:pPr>
        <w:pStyle w:val="NoSpacing"/>
        <w:numPr>
          <w:ilvl w:val="0"/>
          <w:numId w:val="6"/>
        </w:numPr>
        <w:rPr>
          <w:sz w:val="24"/>
          <w:szCs w:val="24"/>
          <w:lang w:eastAsia="ro-MD"/>
        </w:rPr>
      </w:pPr>
      <w:r>
        <w:rPr>
          <w:sz w:val="24"/>
          <w:szCs w:val="24"/>
          <w:lang w:eastAsia="ro-MD"/>
        </w:rPr>
        <w:t>Chișinău:                                                                                ~ 780.000 locuitori</w:t>
      </w:r>
    </w:p>
    <w:p>
      <w:pPr>
        <w:pStyle w:val="NoSpacing"/>
        <w:numPr>
          <w:ilvl w:val="0"/>
          <w:numId w:val="6"/>
        </w:numPr>
        <w:rPr>
          <w:sz w:val="24"/>
          <w:szCs w:val="24"/>
          <w:lang w:eastAsia="ro-MD"/>
        </w:rPr>
      </w:pPr>
      <w:r>
        <w:rPr>
          <w:sz w:val="24"/>
          <w:szCs w:val="24"/>
          <w:lang w:eastAsia="ro-MD"/>
        </w:rPr>
        <w:t>Bălți:                                                                                      ~ 150.000</w:t>
      </w:r>
    </w:p>
    <w:p>
      <w:pPr>
        <w:pStyle w:val="NoSpacing"/>
        <w:numPr>
          <w:ilvl w:val="0"/>
          <w:numId w:val="6"/>
        </w:numPr>
        <w:rPr>
          <w:b/>
          <w:b/>
          <w:bCs/>
          <w:sz w:val="24"/>
          <w:szCs w:val="24"/>
          <w:lang w:eastAsia="ro-MD"/>
        </w:rPr>
      </w:pPr>
      <w:r>
        <w:rPr>
          <w:sz w:val="24"/>
          <w:szCs w:val="24"/>
          <w:lang w:eastAsia="ro-MD"/>
        </w:rPr>
        <w:t>Orhei, Cahul, Ungheni, Soroca, Comrat:                         ~ 200.000 combinate</w:t>
        <w:br/>
      </w:r>
      <w:r>
        <w:rPr>
          <w:b/>
          <w:bCs/>
          <w:sz w:val="24"/>
          <w:szCs w:val="24"/>
          <w:lang w:eastAsia="ro-MD"/>
        </w:rPr>
        <w:t>Total populație urbană target:                                         ~ 1,13 milioane persoane</w:t>
      </w:r>
    </w:p>
    <w:p>
      <w:pPr>
        <w:pStyle w:val="NoSpacing"/>
        <w:ind w:left="720" w:hanging="0"/>
        <w:rPr>
          <w:b/>
          <w:b/>
          <w:bCs/>
          <w:sz w:val="24"/>
          <w:szCs w:val="24"/>
          <w:lang w:eastAsia="ro-MD"/>
        </w:rPr>
      </w:pPr>
      <w:r>
        <w:rPr>
          <w:b/>
          <w:bCs/>
          <w:sz w:val="24"/>
          <w:szCs w:val="24"/>
          <w:lang w:eastAsia="ro-MD"/>
        </w:rPr>
      </w:r>
    </w:p>
    <w:p>
      <w:pPr>
        <w:pStyle w:val="NoSpacing"/>
        <w:rPr>
          <w:sz w:val="27"/>
          <w:szCs w:val="27"/>
          <w:lang w:eastAsia="ro-MD"/>
        </w:rPr>
      </w:pPr>
      <w:r>
        <w:rPr>
          <w:sz w:val="27"/>
          <w:szCs w:val="27"/>
          <w:lang w:eastAsia="ro-MD"/>
        </w:rPr>
        <w:t>Câți cumpără mâncare gătită cel puțin 1 dată pe săptămână?</w:t>
      </w:r>
    </w:p>
    <w:p>
      <w:pPr>
        <w:pStyle w:val="NoSpacing"/>
        <w:rPr>
          <w:i/>
          <w:i/>
          <w:iCs/>
          <w:sz w:val="24"/>
          <w:szCs w:val="24"/>
          <w:lang w:eastAsia="ro-MD"/>
        </w:rPr>
      </w:pPr>
      <w:r>
        <w:rPr>
          <w:rFonts w:cs="Segoe UI Symbol" w:ascii="Segoe UI Symbol" w:hAnsi="Segoe UI Symbol"/>
          <w:sz w:val="24"/>
          <w:szCs w:val="24"/>
          <w:lang w:eastAsia="ro-MD"/>
        </w:rPr>
        <w:t>⭑</w:t>
      </w:r>
      <w:r>
        <w:rPr>
          <w:sz w:val="24"/>
          <w:szCs w:val="24"/>
          <w:lang w:eastAsia="ro-MD"/>
        </w:rPr>
        <w:t xml:space="preserve"> </w:t>
      </w:r>
      <w:r>
        <w:rPr>
          <w:sz w:val="24"/>
          <w:szCs w:val="24"/>
          <w:lang w:eastAsia="ro-MD"/>
        </w:rPr>
        <w:t xml:space="preserve">Estimare realistă urbană: 40% din populația urbană        </w:t>
      </w:r>
      <w:r>
        <w:rPr>
          <w:i/>
          <w:iCs/>
          <w:sz w:val="24"/>
          <w:szCs w:val="24"/>
          <w:lang w:eastAsia="ro-MD"/>
        </w:rPr>
        <w:t xml:space="preserve">→   </w:t>
      </w:r>
      <w:r>
        <w:rPr>
          <w:b/>
          <w:bCs/>
          <w:i/>
          <w:iCs/>
          <w:sz w:val="24"/>
          <w:szCs w:val="24"/>
          <w:lang w:eastAsia="ro-MD"/>
        </w:rPr>
        <w:t>~450.000 persoane</w:t>
      </w:r>
    </w:p>
    <w:p>
      <w:pPr>
        <w:pStyle w:val="NoSpacing"/>
        <w:rPr>
          <w:sz w:val="27"/>
          <w:szCs w:val="27"/>
          <w:lang w:eastAsia="ro-MD"/>
        </w:rPr>
      </w:pPr>
      <w:r>
        <w:rPr>
          <w:sz w:val="27"/>
          <w:szCs w:val="27"/>
          <w:lang w:eastAsia="ro-MD"/>
        </w:rPr>
        <w:t>Cheltuiala medie:</w:t>
      </w:r>
    </w:p>
    <w:p>
      <w:pPr>
        <w:pStyle w:val="NoSpacing"/>
        <w:ind w:left="567" w:hanging="0"/>
        <w:rPr>
          <w:sz w:val="24"/>
          <w:szCs w:val="24"/>
          <w:lang w:eastAsia="ro-MD"/>
        </w:rPr>
      </w:pPr>
      <w:r>
        <w:rPr>
          <w:rFonts w:cs="Segoe UI Symbol" w:ascii="Segoe UI Symbol" w:hAnsi="Segoe UI Symbol"/>
          <w:sz w:val="24"/>
          <w:szCs w:val="24"/>
          <w:lang w:eastAsia="ro-MD"/>
        </w:rPr>
        <w:t>⭑</w:t>
      </w:r>
      <w:r>
        <w:rPr>
          <w:sz w:val="24"/>
          <w:szCs w:val="24"/>
          <w:lang w:eastAsia="ro-MD"/>
        </w:rPr>
        <w:t xml:space="preserve"> </w:t>
      </w:r>
      <w:r>
        <w:rPr>
          <w:sz w:val="24"/>
          <w:szCs w:val="24"/>
          <w:lang w:eastAsia="ro-MD"/>
        </w:rPr>
        <w:t>50–100 lei / comandă</w:t>
        <w:br/>
      </w:r>
      <w:r>
        <w:rPr>
          <w:rFonts w:cs="Segoe UI Symbol" w:ascii="Segoe UI Symbol" w:hAnsi="Segoe UI Symbol"/>
          <w:sz w:val="24"/>
          <w:szCs w:val="24"/>
          <w:lang w:eastAsia="ro-MD"/>
        </w:rPr>
        <w:t>⭑</w:t>
      </w:r>
      <w:r>
        <w:rPr>
          <w:sz w:val="24"/>
          <w:szCs w:val="24"/>
          <w:lang w:eastAsia="ro-MD"/>
        </w:rPr>
        <w:t xml:space="preserve"> 2–3 comenzi / săptămână</w:t>
      </w:r>
    </w:p>
    <w:p>
      <w:pPr>
        <w:pStyle w:val="NoSpacing"/>
        <w:ind w:left="567" w:hanging="567"/>
        <w:rPr>
          <w:b/>
          <w:b/>
          <w:bCs/>
          <w:i/>
          <w:i/>
          <w:iCs/>
          <w:sz w:val="24"/>
          <w:szCs w:val="24"/>
          <w:lang w:eastAsia="ro-MD"/>
        </w:rPr>
      </w:pPr>
      <w:r>
        <w:rPr>
          <w:i/>
          <w:iCs/>
          <w:sz w:val="24"/>
          <w:szCs w:val="24"/>
          <w:lang w:eastAsia="ro-MD"/>
        </w:rPr>
        <w:t xml:space="preserve">→ </w:t>
      </w:r>
      <w:r>
        <w:rPr>
          <w:i/>
          <w:iCs/>
          <w:sz w:val="24"/>
          <w:szCs w:val="24"/>
          <w:lang w:eastAsia="ro-MD"/>
        </w:rPr>
        <w:t xml:space="preserve">Medie anuală estimată per persoană:  </w:t>
      </w:r>
      <w:r>
        <w:rPr>
          <w:b/>
          <w:bCs/>
          <w:i/>
          <w:iCs/>
          <w:sz w:val="24"/>
          <w:szCs w:val="24"/>
          <w:lang w:eastAsia="ro-MD"/>
        </w:rPr>
        <w:t>~8.000 lei / an</w:t>
      </w:r>
    </w:p>
    <w:p>
      <w:pPr>
        <w:pStyle w:val="NoSpacing"/>
        <w:ind w:left="567" w:hanging="567"/>
        <w:rPr>
          <w:sz w:val="24"/>
          <w:szCs w:val="24"/>
          <w:lang w:eastAsia="ro-MD"/>
        </w:rPr>
      </w:pPr>
      <w:r>
        <w:rPr>
          <w:sz w:val="24"/>
          <w:szCs w:val="24"/>
          <w:lang w:eastAsia="ro-MD"/>
        </w:rPr>
      </w:r>
    </w:p>
    <w:p>
      <w:pPr>
        <w:pStyle w:val="NoSpacing"/>
        <w:rPr>
          <w:sz w:val="27"/>
          <w:szCs w:val="27"/>
          <w:lang w:eastAsia="ro-MD"/>
        </w:rPr>
      </w:pPr>
      <w:r>
        <w:rPr>
          <w:sz w:val="27"/>
          <w:szCs w:val="27"/>
          <w:lang w:eastAsia="ro-MD"/>
        </w:rPr>
        <w:t>SAM calculat:</w:t>
      </w:r>
    </w:p>
    <w:p>
      <w:pPr>
        <w:pStyle w:val="NoSpacing"/>
        <w:rPr>
          <w:sz w:val="24"/>
          <w:szCs w:val="24"/>
          <w:lang w:eastAsia="ro-MD"/>
        </w:rPr>
      </w:pPr>
      <w:r>
        <w:rPr>
          <w:sz w:val="24"/>
          <w:szCs w:val="24"/>
          <w:lang w:eastAsia="ro-MD"/>
        </w:rPr>
        <w:t>SAM = 450.000 clienți × 8.000 lei/an</w:t>
        <w:br/>
        <w:t xml:space="preserve">→ </w:t>
      </w:r>
      <w:r>
        <w:rPr>
          <w:b/>
          <w:bCs/>
          <w:sz w:val="24"/>
          <w:szCs w:val="24"/>
          <w:lang w:eastAsia="ro-MD"/>
        </w:rPr>
        <w:t>≈ 3,6 miliarde lei / an</w:t>
      </w:r>
    </w:p>
    <w:p>
      <w:pPr>
        <w:pStyle w:val="NoSpacing"/>
        <w:rPr>
          <w:sz w:val="24"/>
          <w:szCs w:val="24"/>
          <w:lang w:eastAsia="ro-MD"/>
        </w:rPr>
      </w:pPr>
      <w:r>
        <w:rPr>
          <w:sz w:val="24"/>
          <w:szCs w:val="24"/>
          <w:lang w:eastAsia="ro-MD"/>
        </w:rPr>
      </w:r>
    </w:p>
    <w:p>
      <w:pPr>
        <w:pStyle w:val="NoSpacing"/>
        <w:rPr>
          <w:sz w:val="24"/>
          <w:szCs w:val="24"/>
          <w:lang w:eastAsia="ro-MD"/>
        </w:rPr>
      </w:pPr>
      <w:r>
        <w:rPr>
          <w:sz w:val="24"/>
          <w:szCs w:val="24"/>
          <w:lang w:eastAsia="ro-MD"/>
        </w:rPr>
        <w:t>Aceasta este piața reală (valoare tranzacțională anuală) care poate fi  deservita de platforma noastră  în Moldova.</w:t>
      </w:r>
    </w:p>
    <w:p>
      <w:pPr>
        <w:pStyle w:val="NoSpacing"/>
        <w:rPr>
          <w:sz w:val="24"/>
          <w:szCs w:val="24"/>
          <w:lang w:eastAsia="ro-MD"/>
        </w:rPr>
      </w:pPr>
      <w:r>
        <w:rPr>
          <w:sz w:val="24"/>
          <w:szCs w:val="24"/>
          <w:lang w:eastAsia="ro-MD"/>
        </w:rPr>
      </w:r>
    </w:p>
    <w:p>
      <w:pPr>
        <w:pStyle w:val="NoSpacing"/>
        <w:rPr>
          <w:b/>
          <w:b/>
          <w:bCs/>
          <w:sz w:val="32"/>
          <w:szCs w:val="32"/>
          <w:lang w:eastAsia="ro-MD"/>
        </w:rPr>
      </w:pPr>
      <w:r>
        <w:rPr>
          <w:b/>
          <w:bCs/>
          <w:sz w:val="32"/>
          <w:szCs w:val="32"/>
          <w:lang w:eastAsia="ro-MD"/>
        </w:rPr>
        <w:t xml:space="preserve"> </w:t>
      </w:r>
      <w:r>
        <w:rPr>
          <w:b/>
          <w:bCs/>
          <w:sz w:val="32"/>
          <w:szCs w:val="32"/>
          <w:lang w:eastAsia="ro-MD"/>
        </w:rPr>
        <w:t>3) SOM – Piața pe care o poți cuceri în 2–3 ani</w:t>
      </w:r>
    </w:p>
    <w:p>
      <w:pPr>
        <w:pStyle w:val="NoSpacing"/>
        <w:rPr>
          <w:i/>
          <w:i/>
          <w:iCs/>
          <w:sz w:val="24"/>
          <w:szCs w:val="24"/>
          <w:lang w:eastAsia="ro-MD"/>
        </w:rPr>
      </w:pPr>
      <w:r>
        <w:rPr>
          <w:i/>
          <w:iCs/>
          <w:sz w:val="24"/>
          <w:szCs w:val="24"/>
          <w:lang w:eastAsia="ro-MD"/>
        </w:rPr>
        <w:t>SOM = segmentul din SAM pe care îl poți obține realist în 2–3 ani.</w:t>
      </w:r>
    </w:p>
    <w:p>
      <w:pPr>
        <w:pStyle w:val="NoSpacing"/>
        <w:rPr>
          <w:i/>
          <w:i/>
          <w:iCs/>
          <w:sz w:val="24"/>
          <w:szCs w:val="24"/>
          <w:lang w:eastAsia="ro-MD"/>
        </w:rPr>
      </w:pPr>
      <w:r>
        <w:rPr>
          <w:i/>
          <w:iCs/>
          <w:sz w:val="24"/>
          <w:szCs w:val="24"/>
          <w:lang w:eastAsia="ro-MD"/>
        </w:rPr>
      </w:r>
    </w:p>
    <w:p>
      <w:pPr>
        <w:pStyle w:val="Normal"/>
        <w:rPr/>
      </w:pPr>
      <w:r>
        <w:rPr/>
        <w:t>Crești din Chișinău → Bălți → alte orașe</w:t>
      </w:r>
    </w:p>
    <w:p>
      <w:pPr>
        <w:pStyle w:val="Normal"/>
        <w:rPr/>
      </w:pPr>
      <w:r>
        <w:rPr/>
        <w:t>15–20 restaurante la început → 150–200 în 3 ani</w:t>
      </w:r>
    </w:p>
    <w:p>
      <w:pPr>
        <w:pStyle w:val="Normal"/>
        <w:rPr/>
      </w:pPr>
      <w:r>
        <w:rPr/>
        <w:t>adopția unui produs nou: 2–5% din piața urbană în 2–3 ani este realist</w:t>
      </w:r>
    </w:p>
    <w:p>
      <w:pPr>
        <w:pStyle w:val="Normal"/>
        <w:rPr/>
      </w:pPr>
      <w:r>
        <w:rPr/>
        <w:t>platformă fără livrare la început (limitează adopția, dar prețul mic ajută)</w:t>
      </w:r>
    </w:p>
    <w:p>
      <w:pPr>
        <w:pStyle w:val="Normal"/>
        <w:rPr>
          <w:sz w:val="28"/>
          <w:szCs w:val="28"/>
        </w:rPr>
      </w:pPr>
      <w:r>
        <w:rPr>
          <w:sz w:val="28"/>
          <w:szCs w:val="28"/>
        </w:rPr>
        <w:t>Calculul SOM</w:t>
      </w:r>
    </w:p>
    <w:tbl>
      <w:tblPr>
        <w:tblW w:w="9072" w:type="dxa"/>
        <w:jc w:val="left"/>
        <w:tblInd w:w="15" w:type="dxa"/>
        <w:tblLayout w:type="fixed"/>
        <w:tblCellMar>
          <w:top w:w="15" w:type="dxa"/>
          <w:left w:w="15" w:type="dxa"/>
          <w:bottom w:w="15" w:type="dxa"/>
          <w:right w:w="15" w:type="dxa"/>
        </w:tblCellMar>
        <w:tblLook w:val="04a0" w:noHBand="0" w:noVBand="1" w:firstColumn="1" w:lastRow="0" w:lastColumn="0" w:firstRow="1"/>
      </w:tblPr>
      <w:tblGrid>
        <w:gridCol w:w="1356"/>
        <w:gridCol w:w="2182"/>
        <w:gridCol w:w="2393"/>
        <w:gridCol w:w="3140"/>
      </w:tblGrid>
      <w:tr>
        <w:trPr>
          <w:tblHeader w:val="true"/>
        </w:trPr>
        <w:tc>
          <w:tcPr>
            <w:tcW w:w="1356" w:type="dxa"/>
            <w:tcBorders/>
            <w:vAlign w:val="center"/>
          </w:tcPr>
          <w:p>
            <w:pPr>
              <w:pStyle w:val="Normal"/>
              <w:widowControl w:val="false"/>
              <w:spacing w:lineRule="auto" w:line="240" w:before="0" w:after="0"/>
              <w:jc w:val="center"/>
              <w:rPr>
                <w:rFonts w:ascii="Times New Roman" w:hAnsi="Times New Roman" w:eastAsia="Times New Roman" w:cs="Times New Roman"/>
                <w:b/>
                <w:b/>
                <w:bCs/>
                <w:sz w:val="24"/>
                <w:szCs w:val="24"/>
                <w:lang w:eastAsia="ro-MD"/>
              </w:rPr>
            </w:pPr>
            <w:r>
              <w:rPr>
                <w:rFonts w:eastAsia="Times New Roman" w:cs="Times New Roman" w:ascii="Times New Roman" w:hAnsi="Times New Roman"/>
                <w:b/>
                <w:bCs/>
                <w:sz w:val="24"/>
                <w:szCs w:val="24"/>
                <w:lang w:eastAsia="ro-MD"/>
              </w:rPr>
              <w:t>Scenariu</w:t>
            </w:r>
          </w:p>
        </w:tc>
        <w:tc>
          <w:tcPr>
            <w:tcW w:w="2182" w:type="dxa"/>
            <w:tcBorders/>
            <w:vAlign w:val="center"/>
          </w:tcPr>
          <w:p>
            <w:pPr>
              <w:pStyle w:val="Normal"/>
              <w:widowControl w:val="false"/>
              <w:spacing w:lineRule="auto" w:line="240" w:before="0" w:after="0"/>
              <w:jc w:val="center"/>
              <w:rPr>
                <w:rFonts w:ascii="Times New Roman" w:hAnsi="Times New Roman" w:eastAsia="Times New Roman" w:cs="Times New Roman"/>
                <w:b/>
                <w:b/>
                <w:bCs/>
                <w:sz w:val="24"/>
                <w:szCs w:val="24"/>
                <w:lang w:eastAsia="ro-MD"/>
              </w:rPr>
            </w:pPr>
            <w:r>
              <w:rPr>
                <w:rFonts w:eastAsia="Times New Roman" w:cs="Times New Roman" w:ascii="Times New Roman" w:hAnsi="Times New Roman"/>
                <w:b/>
                <w:bCs/>
                <w:sz w:val="24"/>
                <w:szCs w:val="24"/>
                <w:lang w:eastAsia="ro-MD"/>
              </w:rPr>
              <w:t>Market share din SAM</w:t>
            </w:r>
          </w:p>
        </w:tc>
        <w:tc>
          <w:tcPr>
            <w:tcW w:w="2393" w:type="dxa"/>
            <w:tcBorders/>
            <w:vAlign w:val="center"/>
          </w:tcPr>
          <w:p>
            <w:pPr>
              <w:pStyle w:val="Normal"/>
              <w:widowControl w:val="false"/>
              <w:spacing w:lineRule="auto" w:line="240" w:before="0" w:after="0"/>
              <w:jc w:val="center"/>
              <w:rPr>
                <w:rFonts w:ascii="Times New Roman" w:hAnsi="Times New Roman" w:eastAsia="Times New Roman" w:cs="Times New Roman"/>
                <w:b/>
                <w:b/>
                <w:bCs/>
                <w:sz w:val="24"/>
                <w:szCs w:val="24"/>
                <w:lang w:eastAsia="ro-MD"/>
              </w:rPr>
            </w:pPr>
            <w:r>
              <w:rPr>
                <w:rFonts w:eastAsia="Times New Roman" w:cs="Times New Roman" w:ascii="Times New Roman" w:hAnsi="Times New Roman"/>
                <w:b/>
                <w:bCs/>
                <w:sz w:val="24"/>
                <w:szCs w:val="24"/>
                <w:lang w:eastAsia="ro-MD"/>
              </w:rPr>
              <w:t>SOM (valoare tranzacții)</w:t>
            </w:r>
          </w:p>
        </w:tc>
        <w:tc>
          <w:tcPr>
            <w:tcW w:w="3140" w:type="dxa"/>
            <w:tcBorders/>
            <w:vAlign w:val="center"/>
          </w:tcPr>
          <w:p>
            <w:pPr>
              <w:pStyle w:val="Normal"/>
              <w:widowControl w:val="false"/>
              <w:spacing w:lineRule="auto" w:line="240" w:before="0" w:after="0"/>
              <w:jc w:val="center"/>
              <w:rPr>
                <w:rFonts w:ascii="Times New Roman" w:hAnsi="Times New Roman" w:eastAsia="Times New Roman" w:cs="Times New Roman"/>
                <w:b/>
                <w:b/>
                <w:bCs/>
                <w:sz w:val="24"/>
                <w:szCs w:val="24"/>
                <w:lang w:eastAsia="ro-MD"/>
              </w:rPr>
            </w:pPr>
            <w:r>
              <w:rPr>
                <w:rFonts w:eastAsia="Times New Roman" w:cs="Times New Roman" w:ascii="Times New Roman" w:hAnsi="Times New Roman"/>
                <w:b/>
                <w:bCs/>
                <w:sz w:val="24"/>
                <w:szCs w:val="24"/>
                <w:lang w:eastAsia="ro-MD"/>
              </w:rPr>
              <w:t>Venit platformă cu comision 10%</w:t>
            </w:r>
          </w:p>
        </w:tc>
      </w:tr>
      <w:tr>
        <w:trPr/>
        <w:tc>
          <w:tcPr>
            <w:tcW w:w="1356" w:type="dxa"/>
            <w:tcBorders/>
            <w:vAlign w:val="center"/>
          </w:tcPr>
          <w:p>
            <w:pPr>
              <w:pStyle w:val="Normal"/>
              <w:widowControl w:val="false"/>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b/>
                <w:bCs/>
                <w:sz w:val="24"/>
                <w:szCs w:val="24"/>
                <w:lang w:eastAsia="ro-MD"/>
              </w:rPr>
              <w:t>Conservator</w:t>
            </w:r>
          </w:p>
        </w:tc>
        <w:tc>
          <w:tcPr>
            <w:tcW w:w="2182" w:type="dxa"/>
            <w:tcBorders/>
            <w:vAlign w:val="center"/>
          </w:tcPr>
          <w:p>
            <w:pPr>
              <w:pStyle w:val="Normal"/>
              <w:widowControl w:val="false"/>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1%</w:t>
            </w:r>
          </w:p>
        </w:tc>
        <w:tc>
          <w:tcPr>
            <w:tcW w:w="2393" w:type="dxa"/>
            <w:tcBorders/>
            <w:vAlign w:val="center"/>
          </w:tcPr>
          <w:p>
            <w:pPr>
              <w:pStyle w:val="Normal"/>
              <w:widowControl w:val="false"/>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36 milioane lei/an</w:t>
            </w:r>
          </w:p>
        </w:tc>
        <w:tc>
          <w:tcPr>
            <w:tcW w:w="3140" w:type="dxa"/>
            <w:tcBorders/>
            <w:vAlign w:val="center"/>
          </w:tcPr>
          <w:p>
            <w:pPr>
              <w:pStyle w:val="Normal"/>
              <w:widowControl w:val="false"/>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3,6 mil. lei/an</w:t>
            </w:r>
          </w:p>
        </w:tc>
      </w:tr>
      <w:tr>
        <w:trPr/>
        <w:tc>
          <w:tcPr>
            <w:tcW w:w="1356" w:type="dxa"/>
            <w:tcBorders/>
            <w:vAlign w:val="center"/>
          </w:tcPr>
          <w:p>
            <w:pPr>
              <w:pStyle w:val="Normal"/>
              <w:widowControl w:val="false"/>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b/>
                <w:bCs/>
                <w:sz w:val="24"/>
                <w:szCs w:val="24"/>
                <w:lang w:eastAsia="ro-MD"/>
              </w:rPr>
              <w:t xml:space="preserve">Realist </w:t>
            </w:r>
          </w:p>
        </w:tc>
        <w:tc>
          <w:tcPr>
            <w:tcW w:w="2182" w:type="dxa"/>
            <w:tcBorders/>
            <w:vAlign w:val="center"/>
          </w:tcPr>
          <w:p>
            <w:pPr>
              <w:pStyle w:val="Normal"/>
              <w:widowControl w:val="false"/>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3%</w:t>
            </w:r>
          </w:p>
        </w:tc>
        <w:tc>
          <w:tcPr>
            <w:tcW w:w="2393" w:type="dxa"/>
            <w:tcBorders/>
            <w:vAlign w:val="center"/>
          </w:tcPr>
          <w:p>
            <w:pPr>
              <w:pStyle w:val="Normal"/>
              <w:widowControl w:val="false"/>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108 milioane lei/an</w:t>
            </w:r>
          </w:p>
        </w:tc>
        <w:tc>
          <w:tcPr>
            <w:tcW w:w="3140" w:type="dxa"/>
            <w:tcBorders/>
            <w:vAlign w:val="center"/>
          </w:tcPr>
          <w:p>
            <w:pPr>
              <w:pStyle w:val="Normal"/>
              <w:widowControl w:val="false"/>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10,8 mil. lei/an</w:t>
            </w:r>
          </w:p>
        </w:tc>
      </w:tr>
      <w:tr>
        <w:trPr/>
        <w:tc>
          <w:tcPr>
            <w:tcW w:w="1356" w:type="dxa"/>
            <w:tcBorders/>
            <w:vAlign w:val="center"/>
          </w:tcPr>
          <w:p>
            <w:pPr>
              <w:pStyle w:val="Normal"/>
              <w:widowControl w:val="false"/>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b/>
                <w:bCs/>
                <w:sz w:val="24"/>
                <w:szCs w:val="24"/>
                <w:lang w:eastAsia="ro-MD"/>
              </w:rPr>
              <w:t>Optimist</w:t>
            </w:r>
          </w:p>
        </w:tc>
        <w:tc>
          <w:tcPr>
            <w:tcW w:w="2182" w:type="dxa"/>
            <w:tcBorders/>
            <w:vAlign w:val="center"/>
          </w:tcPr>
          <w:p>
            <w:pPr>
              <w:pStyle w:val="Normal"/>
              <w:widowControl w:val="false"/>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5%</w:t>
            </w:r>
          </w:p>
        </w:tc>
        <w:tc>
          <w:tcPr>
            <w:tcW w:w="2393" w:type="dxa"/>
            <w:tcBorders/>
            <w:vAlign w:val="center"/>
          </w:tcPr>
          <w:p>
            <w:pPr>
              <w:pStyle w:val="Normal"/>
              <w:widowControl w:val="false"/>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180 milioane lei/an</w:t>
            </w:r>
          </w:p>
        </w:tc>
        <w:tc>
          <w:tcPr>
            <w:tcW w:w="3140" w:type="dxa"/>
            <w:tcBorders/>
            <w:vAlign w:val="center"/>
          </w:tcPr>
          <w:p>
            <w:pPr>
              <w:pStyle w:val="Normal"/>
              <w:widowControl w:val="false"/>
              <w:spacing w:lineRule="auto" w:line="240" w:before="0" w:after="0"/>
              <w:rPr>
                <w:rFonts w:ascii="Times New Roman" w:hAnsi="Times New Roman" w:eastAsia="Times New Roman" w:cs="Times New Roman"/>
                <w:sz w:val="24"/>
                <w:szCs w:val="24"/>
                <w:lang w:eastAsia="ro-MD"/>
              </w:rPr>
            </w:pPr>
            <w:r>
              <w:rPr>
                <w:rFonts w:eastAsia="Times New Roman" w:cs="Times New Roman" w:ascii="Times New Roman" w:hAnsi="Times New Roman"/>
                <w:sz w:val="24"/>
                <w:szCs w:val="24"/>
                <w:lang w:eastAsia="ro-MD"/>
              </w:rPr>
              <w:t>18 mil. lei/an</w:t>
            </w:r>
          </w:p>
        </w:tc>
      </w:tr>
    </w:tbl>
    <w:p>
      <w:pPr>
        <w:pStyle w:val="Normal"/>
        <w:rPr/>
      </w:pPr>
      <w:r>
        <w:rPr/>
      </w:r>
    </w:p>
    <w:p>
      <w:pPr>
        <w:pStyle w:val="Heading2"/>
        <w:rPr/>
      </w:pPr>
      <w:r>
        <w:rPr/>
        <w:t>7. Concluzie</w:t>
      </w:r>
    </w:p>
    <w:p>
      <w:pPr>
        <w:pStyle w:val="Normal"/>
        <w:widowControl/>
        <w:bidi w:val="0"/>
        <w:spacing w:lineRule="auto" w:line="276" w:before="0" w:after="200"/>
        <w:jc w:val="left"/>
        <w:rPr/>
      </w:pPr>
      <w:r>
        <w:rPr/>
        <w:t>Implementarea unei platforme anti-risipă alimentară în Chișinău reprezintă o oportunitate majoră de a reduce pierderile alimentare și de a sprijini afacerile locale. Piața este în prezent liberă de competitori direcți, iar tendințele internaționale arată că astfel de soluții au potențial ridicat de adoptare. Printr-o strategie bine definită, colaborări cu afacerile locale și comunicare eficientă, platforma poate deveni un instrument important în promovarea economiei circulare și a unui oraș mai sustenabil.</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egoe UI Emoji">
    <w:charset w:val="01"/>
    <w:family w:val="roman"/>
    <w:pitch w:val="variable"/>
  </w:font>
  <w:font w:name="Segoe UI Symbol">
    <w:charset w:val="01"/>
    <w:family w:val="roman"/>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LibreOffice/7.3.7.2$Linux_X86_64 LibreOffice_project/30$Build-2</Application>
  <AppVersion>15.0000</AppVersion>
  <Pages>6</Pages>
  <Words>1108</Words>
  <Characters>6531</Characters>
  <CharactersWithSpaces>7881</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2025-11-14T22:38:36Z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