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color w:val="000000"/>
        </w:rPr>
      </w:pPr>
      <w:r>
        <w:rPr>
          <w:color w:val="000000"/>
        </w:rPr>
        <w:t>Platformă Anti-Risipă Alimentară în Chișinău</w:t>
        <w:br/>
      </w:r>
      <w:r>
        <w:rPr>
          <w:color w:val="000000"/>
          <w:sz w:val="18"/>
          <w:szCs w:val="18"/>
        </w:rPr>
        <w:t>Echipa: Răileanu Emanuel, Sveț Vitali, Cocieru Emil, Morari Cătălin, Serba Cristina</w:t>
      </w:r>
    </w:p>
    <w:p>
      <w:pPr>
        <w:pStyle w:val="Heading2"/>
        <w:rPr>
          <w:color w:val="000000"/>
        </w:rPr>
      </w:pPr>
      <w:r>
        <w:rPr>
          <w:color w:val="000000"/>
        </w:rPr>
        <w:t>Introducere</w:t>
      </w:r>
    </w:p>
    <w:p>
      <w:pPr>
        <w:pStyle w:val="Normal"/>
        <w:rPr/>
      </w:pPr>
      <w:r>
        <w:rPr/>
        <w:t>Risipa alimentară reprezintă o problemă majoră la nivel global și local, cu impact economic, social și ecologic. În Republica Moldova, lipsa unor mecanisme digitale eficiente pentru valorificarea surplusului alimentar determină pierderi financiare pentru agenții economici și costuri ridicate pentru consumatori. Prezentul raport analizează oportunitatea dezvoltării unei platforme anti-risipă alimentară în Chișinău.</w:t>
      </w:r>
    </w:p>
    <w:p>
      <w:pPr>
        <w:pStyle w:val="Heading2"/>
        <w:rPr/>
      </w:pPr>
      <w:r>
        <w:rPr>
          <w:color w:val="000000"/>
        </w:rPr>
        <w:t>1. Problema principală</w:t>
      </w:r>
    </w:p>
    <w:p>
      <w:pPr>
        <w:pStyle w:val="Normal"/>
        <w:rPr/>
      </w:pPr>
      <w:r>
        <w:rPr/>
        <w:t>Restaurantele, cafenelele, patiseriile și magazinele alimentare generează zilnic surplus alimentar, în special la finalul zilei. Aceste produse sunt eliminate din cauza lipsei canalelor de redistribuire. În același timp, studenții și tinerii cu venituri reduse întâmpină dificultăți în accesarea alimentelor gătite la prețuri accesibile. Această discrepanță evidențiază necesitatea unei soluții digitale locale.</w:t>
      </w:r>
    </w:p>
    <w:p>
      <w:pPr>
        <w:pStyle w:val="Heading2"/>
        <w:rPr>
          <w:color w:val="000000"/>
        </w:rPr>
      </w:pPr>
      <w:r>
        <w:rPr>
          <w:color w:val="000000"/>
        </w:rPr>
        <w:t>2. Soluția propusă</w:t>
      </w:r>
    </w:p>
    <w:p>
      <w:pPr>
        <w:pStyle w:val="Normal"/>
        <w:rPr/>
      </w:pPr>
      <w:r>
        <w:rPr/>
        <w:t>Platforma propusă constă într-o aplicație mobilă și un website care permit listarea produselor alimentare rămase la prețuri reduse. Utilizatorii pot vizualiza ofertele pe bază de locație, interval orar și tip de produs, pot rezerva și ridica rapid produsele. Platforma asigură transparență prin afișarea ingredientelor, alergenilor și datei preparării.</w:t>
      </w:r>
    </w:p>
    <w:p>
      <w:pPr>
        <w:pStyle w:val="Heading2"/>
        <w:rPr>
          <w:color w:val="000000"/>
        </w:rPr>
      </w:pPr>
      <w:r>
        <w:rPr>
          <w:color w:val="000000"/>
        </w:rPr>
        <w:t>3. Profilul clientului ideal</w:t>
      </w:r>
    </w:p>
    <w:p>
      <w:pPr>
        <w:pStyle w:val="Normal"/>
        <w:rPr/>
      </w:pPr>
      <w:r>
        <w:rPr/>
        <w:t>Clientul țintă este reprezentat de tineri urbani, în special studenți. Persona principală este Maria Rotaru, 20 de ani, studentă la Economie, cu buget limitat și timp redus pentru gătit. Aceasta utilizează frecvent aplicații mobile, este sensibilă la preț și motivată de impactul pozitiv asupra mediului.</w:t>
      </w:r>
    </w:p>
    <w:p>
      <w:pPr>
        <w:pStyle w:val="Heading2"/>
        <w:rPr>
          <w:color w:val="000000"/>
        </w:rPr>
      </w:pPr>
      <w:r>
        <w:rPr>
          <w:color w:val="000000"/>
        </w:rPr>
        <w:t>4. Analiza pieței – TAM, SAM, SOM</w:t>
      </w:r>
    </w:p>
    <w:p>
      <w:pPr>
        <w:pStyle w:val="Normal"/>
        <w:rPr/>
      </w:pPr>
      <w:r>
        <w:rPr/>
        <w:t>TAM este reprezentat de piața globală de online food delivery, estimată la aproximativ 289 miliarde USD anual. SAM vizează populația urbană din Moldova (aprox. 1,13 milioane persoane), dintre care 40% cumpără mâncare gătită cel puțin o dată pe săptămână, rezultând o piață de 3,6 miliarde lei anual. SOM reprezintă 2–5% din SAM, realist de atins în 2–3 ani.</w:t>
      </w:r>
    </w:p>
    <w:p>
      <w:pPr>
        <w:pStyle w:val="Heading2"/>
        <w:rPr>
          <w:color w:val="000000"/>
        </w:rPr>
      </w:pPr>
      <w:r>
        <w:rPr>
          <w:color w:val="000000"/>
        </w:rPr>
        <w:t>5. Modelul de afaceri și monetizare</w:t>
      </w:r>
    </w:p>
    <w:p>
      <w:pPr>
        <w:pStyle w:val="Normal"/>
        <w:rPr/>
      </w:pPr>
      <w:r>
        <w:rPr/>
        <w:t>Platforma funcționează pe un model freemium. Veniturile sunt generate din comision de 5% per tranzacție, abonamente pentru utilizatori (4–7 €/lună) și comercianți (5–25 €/lună), precum și taxe de promovare. Modelul permite scalabilitate și profitabilitate ridicată.</w:t>
      </w:r>
    </w:p>
    <w:p>
      <w:pPr>
        <w:pStyle w:val="Heading2"/>
        <w:rPr>
          <w:color w:val="000000"/>
        </w:rPr>
      </w:pPr>
      <w:r>
        <w:rPr>
          <w:color w:val="000000"/>
        </w:rPr>
        <w:t>6. Strategia de lansare</w:t>
      </w:r>
    </w:p>
    <w:p>
      <w:pPr>
        <w:pStyle w:val="Normal"/>
        <w:rPr/>
      </w:pPr>
      <w:r>
        <w:rPr/>
        <w:t>Lansarea este planificată în trei faze: dezvoltare MVP și testare beta cu studenți, lansare oficială prin campanii online și extindere în alte orașe precum Bălți și Cahul. Strategia include parteneriate cu ONG-uri anti-risipă și reduceri promoționale temporare.</w:t>
      </w:r>
    </w:p>
    <w:p>
      <w:pPr>
        <w:pStyle w:val="Heading2"/>
        <w:rPr>
          <w:color w:val="000000"/>
        </w:rPr>
      </w:pPr>
      <w:r>
        <w:rPr>
          <w:color w:val="000000"/>
        </w:rPr>
        <w:t>7. Investiții inițiale și structură financiară</w:t>
      </w:r>
    </w:p>
    <w:p>
      <w:pPr>
        <w:pStyle w:val="Normal"/>
        <w:rPr/>
      </w:pPr>
      <w:r>
        <w:rPr/>
        <w:t>Investiția inițială totală este de aproximativ 300.000 lei, destinată dezvoltării IT, echipamentelor, serverelor, marketingului și capitalului de lucru. Finanțarea este asigurată prin contribuție proprie (49,7%), credit bancar (31,3%) și granturi (19%).</w:t>
      </w:r>
    </w:p>
    <w:p>
      <w:pPr>
        <w:pStyle w:val="Heading2"/>
        <w:rPr>
          <w:color w:val="000000"/>
        </w:rPr>
      </w:pPr>
      <w:r>
        <w:rPr>
          <w:color w:val="000000"/>
        </w:rPr>
        <w:t>8. Previziuni financiare</w:t>
      </w:r>
    </w:p>
    <w:p>
      <w:pPr>
        <w:pStyle w:val="Normal"/>
        <w:rPr/>
      </w:pPr>
      <w:r>
        <w:rPr/>
        <w:t>Veniturile anuale estimate sunt de 1.170.000 lei, provenind din vânzări de produse salvate, abonamente utilizatori și abonamente comercianți. Cheltuielile operaționale anuale sunt de aproximativ 562.980 lei, rezultând un profit brut de peste 600.000 lei și un nivel de rentabilitate de 108%.</w:t>
      </w:r>
    </w:p>
    <w:p>
      <w:pPr>
        <w:pStyle w:val="Heading2"/>
        <w:rPr>
          <w:color w:val="000000"/>
        </w:rPr>
      </w:pPr>
      <w:r>
        <w:rPr>
          <w:color w:val="000000"/>
        </w:rPr>
        <w:t>9. Impact economic, social și de mediu</w:t>
      </w:r>
    </w:p>
    <w:p>
      <w:pPr>
        <w:pStyle w:val="Normal"/>
        <w:rPr/>
      </w:pPr>
      <w:r>
        <w:rPr/>
        <w:t>Platforma contribuie la reducerea risipei alimentare, sprijină consumatorii cu venituri reduse, oferă venituri suplimentare comercianților și promovează un comportament de consum responsabil.</w:t>
      </w:r>
    </w:p>
    <w:p>
      <w:pPr>
        <w:pStyle w:val="Heading2"/>
        <w:rPr>
          <w:color w:val="000000"/>
        </w:rPr>
      </w:pPr>
      <w:r>
        <w:rPr>
          <w:color w:val="000000"/>
        </w:rPr>
        <w:t>Concluzii</w:t>
      </w:r>
    </w:p>
    <w:p>
      <w:pPr>
        <w:pStyle w:val="Normal"/>
        <w:widowControl/>
        <w:bidi w:val="0"/>
        <w:spacing w:lineRule="auto" w:line="276" w:before="0" w:after="200"/>
        <w:jc w:val="left"/>
        <w:rPr/>
      </w:pPr>
      <w:r>
        <w:rPr/>
        <w:t>Platforma Anti-Risipă Alimentară reprezintă o oportunitate viabilă de afaceri, cu impact pozitiv asupra societății și mediului, având potențial real de extindere la nivel național și regional.</w:t>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t>Anexa</w:t>
        <w:br/>
        <w:t xml:space="preserve">Rezultatele sondajului </w:t>
      </w:r>
    </w:p>
    <w:p>
      <w:pPr>
        <w:pStyle w:val="NormalWeb"/>
        <w:widowControl/>
        <w:bidi w:val="0"/>
        <w:spacing w:lineRule="auto" w:line="276" w:before="280" w:after="280"/>
        <w:jc w:val="left"/>
        <w:rPr>
          <w:lang w:val="ro-MD"/>
        </w:rPr>
      </w:pPr>
      <w:r>
        <w:rPr>
          <w:lang w:val="ro-MD"/>
        </w:rPr>
        <w:t xml:space="preserve">Datele colectate prin chestionar arată că nivelul de informare al utilizatorilor în ceea ce privește conceptele asociate reducerii risipei alimentare este unul moderat. Mai exact, </w:t>
      </w:r>
      <w:r>
        <w:rPr>
          <w:rStyle w:val="Strong"/>
          <w:lang w:val="ro-MD"/>
        </w:rPr>
        <w:t>61,4% dintre respondenți</w:t>
      </w:r>
      <w:r>
        <w:rPr>
          <w:lang w:val="ro-MD"/>
        </w:rPr>
        <w:t xml:space="preserve"> au declarat că au auzit anterior despre inițiative precum „food waste reduction” sau „vânzarea surplusului alimentar”, ceea ce indică existența unei baze de cunoștințe în rândul unei părți semnificative a publicului</w:t>
      </w:r>
    </w:p>
    <w:p>
      <w:pPr>
        <w:pStyle w:val="Normal"/>
        <w:widowControl/>
        <w:bidi w:val="0"/>
        <w:spacing w:lineRule="auto" w:line="276" w:before="0" w:after="200"/>
        <w:jc w:val="left"/>
        <w:rPr/>
      </w:pPr>
      <w:r>
        <w:rPr/>
        <w:drawing>
          <wp:inline distT="0" distB="0" distL="0" distR="0">
            <wp:extent cx="5943600" cy="2818765"/>
            <wp:effectExtent l="0" t="0" r="0" b="0"/>
            <wp:docPr id="1"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 descr=""/>
                    <pic:cNvPicPr>
                      <a:picLocks noChangeAspect="1" noChangeArrowheads="1"/>
                    </pic:cNvPicPr>
                  </pic:nvPicPr>
                  <pic:blipFill>
                    <a:blip r:embed="rId2"/>
                    <a:stretch>
                      <a:fillRect/>
                    </a:stretch>
                  </pic:blipFill>
                  <pic:spPr bwMode="auto">
                    <a:xfrm>
                      <a:off x="0" y="0"/>
                      <a:ext cx="5943600" cy="2818765"/>
                    </a:xfrm>
                    <a:prstGeom prst="rect">
                      <a:avLst/>
                    </a:prstGeom>
                  </pic:spPr>
                </pic:pic>
              </a:graphicData>
            </a:graphic>
          </wp:inline>
        </w:drawing>
      </w:r>
      <w:r>
        <w:rPr/>
        <w:br/>
      </w:r>
      <w:r>
        <w:rPr/>
        <w:drawing>
          <wp:inline distT="0" distB="0" distL="0" distR="0">
            <wp:extent cx="5943600" cy="284670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tretch>
                      <a:fillRect/>
                    </a:stretch>
                  </pic:blipFill>
                  <pic:spPr bwMode="auto">
                    <a:xfrm>
                      <a:off x="0" y="0"/>
                      <a:ext cx="5943600" cy="2846705"/>
                    </a:xfrm>
                    <a:prstGeom prst="rect">
                      <a:avLst/>
                    </a:prstGeom>
                  </pic:spPr>
                </pic:pic>
              </a:graphicData>
            </a:graphic>
          </wp:inline>
        </w:drawing>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NormalWeb">
    <w:name w:val="Normal (Web)"/>
    <w:basedOn w:val="Normal"/>
    <w:qFormat/>
    <w:pPr>
      <w:spacing w:lineRule="auto" w:line="240" w:beforeAutospacing="1" w:afterAutospacing="1"/>
    </w:pPr>
    <w:rPr>
      <w:rFonts w:ascii="Times New Roman" w:hAnsi="Times New Roman" w:eastAsia="Times New Roman" w:cs="Times New Roman"/>
      <w:sz w:val="24"/>
      <w:szCs w:val="24"/>
      <w:lang w:val="ru-RU" w:eastAsia="ru-RU"/>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LibreOffice/7.3.7.2$Linux_X86_64 LibreOffice_project/30$Build-2</Application>
  <AppVersion>15.0000</AppVersion>
  <Pages>3</Pages>
  <Words>571</Words>
  <Characters>3614</Characters>
  <CharactersWithSpaces>4159</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2026-01-24T10:38:10Z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