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B7F4E" w:rsidP="21A9A68B" w:rsidRDefault="00AB7F4E" w14:paraId="07F0A64E" w14:textId="5FA4CADF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5007C1D3">
            <wp:simplePos x="0" y="0"/>
            <wp:positionH relativeFrom="margin">
              <wp:align>center</wp:align>
            </wp:positionH>
            <wp:positionV relativeFrom="paragraph">
              <wp:posOffset>-92075</wp:posOffset>
            </wp:positionV>
            <wp:extent cx="1039495" cy="767080"/>
            <wp:effectExtent l="0" t="0" r="8255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F4E" w:rsidP="21A9A68B" w:rsidRDefault="00AB7F4E" w14:paraId="534B5DF3" w14:textId="7777777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B7F4E" w:rsidP="21A9A68B" w:rsidRDefault="00AB7F4E" w14:paraId="0BCE14E5" w14:textId="2C5BFA79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Pr="00AB7F4E" w:rsidR="00E6183E" w:rsidP="21A9A68B" w:rsidRDefault="00557640" w14:paraId="6D7B3888" w14:textId="3F054A3F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B7F4E">
        <w:rPr>
          <w:rFonts w:ascii="Times New Roman" w:hAnsi="Times New Roman" w:cs="Times New Roman"/>
          <w:b/>
          <w:bCs/>
          <w:noProof/>
          <w:sz w:val="28"/>
          <w:szCs w:val="28"/>
        </w:rPr>
        <w:t>MINISTERUL EDUCAȚIEI ȘI CERCETĂRII AL REPUBLICII MOLDOVA</w:t>
      </w:r>
    </w:p>
    <w:p w:rsidRPr="00AB7F4E" w:rsidR="00E6183E" w:rsidP="21A9A68B" w:rsidRDefault="21A9A68B" w14:paraId="7071EB68" w14:textId="13644DB9">
      <w:pPr>
        <w:ind w:left="0" w:right="-180"/>
        <w:jc w:val="center"/>
        <w:rPr>
          <w:rFonts w:ascii="Times New Roman" w:hAnsi="Times New Roman" w:eastAsia="Calibri" w:cs="Times New Roman"/>
          <w:b/>
          <w:bCs/>
          <w:noProof/>
          <w:sz w:val="28"/>
          <w:szCs w:val="28"/>
        </w:rPr>
      </w:pPr>
      <w:r w:rsidRPr="00AB7F4E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:rsidRPr="00F40BD5" w:rsidR="00E6183E" w:rsidP="21A9A68B" w:rsidRDefault="00E6183E" w14:paraId="2A8BC0C2" w14:textId="76D65DF1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Pr="00F40BD5" w:rsidR="00E6183E" w:rsidP="21A9A68B" w:rsidRDefault="00E6183E" w14:paraId="4E6E8CD8" w14:textId="7777777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Pr="00F40BD5" w:rsidR="00E6183E" w:rsidP="21A9A68B" w:rsidRDefault="00E6183E" w14:paraId="021E276B" w14:textId="7777777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Pr="00AB7F4E" w:rsidR="3062160B" w:rsidP="3062160B" w:rsidRDefault="3062160B" w14:paraId="1C3ECFE3" w14:textId="23049373">
      <w:pPr>
        <w:ind w:left="0"/>
        <w:jc w:val="center"/>
        <w:rPr>
          <w:sz w:val="96"/>
          <w:szCs w:val="96"/>
        </w:rPr>
      </w:pPr>
      <w:r w:rsidRPr="00AB7F4E">
        <w:rPr>
          <w:rFonts w:ascii="Times New Roman" w:hAnsi="Times New Roman" w:cs="Times New Roman"/>
          <w:b/>
          <w:bCs/>
          <w:noProof/>
          <w:sz w:val="96"/>
          <w:szCs w:val="96"/>
        </w:rPr>
        <w:t>Referat</w:t>
      </w:r>
    </w:p>
    <w:p w:rsidRPr="00F40BD5" w:rsidR="00E6183E" w:rsidP="3062160B" w:rsidRDefault="3062160B" w14:paraId="1AC253DB" w14:textId="2B247BD4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3062160B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306216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„Filosofie și gândire critică”</w:t>
      </w:r>
    </w:p>
    <w:p w:rsidR="3062160B" w:rsidP="3062160B" w:rsidRDefault="3062160B" w14:paraId="57547703" w14:textId="372C6F0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306216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Tema: Filosofia lui G. Berkeley</w:t>
      </w:r>
    </w:p>
    <w:p w:rsidRPr="00F40BD5" w:rsidR="00E6183E" w:rsidP="21A9A68B" w:rsidRDefault="00E6183E" w14:paraId="231E67B8" w14:textId="2DD218F9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:rsidR="00E6183E" w:rsidP="21A9A68B" w:rsidRDefault="00E6183E" w14:paraId="607DC998" w14:textId="644F2A01">
      <w:pPr>
        <w:ind w:left="0"/>
        <w:jc w:val="center"/>
        <w:rPr>
          <w:noProof/>
        </w:rPr>
      </w:pPr>
    </w:p>
    <w:p w:rsidR="00AB7F4E" w:rsidP="00AB7F4E" w:rsidRDefault="00AB7F4E" w14:paraId="5DD8A31A" w14:textId="5AF604D2">
      <w:pPr>
        <w:ind w:left="0"/>
        <w:rPr>
          <w:noProof/>
        </w:rPr>
      </w:pPr>
    </w:p>
    <w:p w:rsidRPr="00F40BD5" w:rsidR="00AB7F4E" w:rsidP="21A9A68B" w:rsidRDefault="00AB7F4E" w14:paraId="2B23C71B" w14:textId="77777777">
      <w:pPr>
        <w:ind w:left="0"/>
        <w:jc w:val="center"/>
        <w:rPr>
          <w:noProof/>
        </w:rPr>
      </w:pPr>
    </w:p>
    <w:p w:rsidRPr="00F40BD5" w:rsidR="00E6183E" w:rsidP="21A9A68B" w:rsidRDefault="00E6183E" w14:paraId="54ABBE8F" w14:textId="77777777">
      <w:pPr>
        <w:ind w:left="0"/>
        <w:jc w:val="center"/>
        <w:rPr>
          <w:noProof/>
        </w:rPr>
      </w:pPr>
    </w:p>
    <w:p w:rsidRPr="00F40BD5" w:rsidR="00E6183E" w:rsidP="21A9A68B" w:rsidRDefault="00E6183E" w14:paraId="5BBA54D5" w14:textId="77777777">
      <w:pPr>
        <w:ind w:left="0"/>
        <w:jc w:val="center"/>
        <w:rPr>
          <w:noProof/>
        </w:rPr>
      </w:pPr>
    </w:p>
    <w:p w:rsidR="00E6183E" w:rsidP="00AB7F4E" w:rsidRDefault="21A9A68B" w14:paraId="15E4A21C" w14:textId="095EBDD7">
      <w:pPr>
        <w:ind w:left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21A9A6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21A9A6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21A9A6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AB7F4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          </w:t>
      </w:r>
      <w:r w:rsidRPr="21A9A6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:rsidRPr="00F40BD5" w:rsidR="00AB7F4E" w:rsidP="00AB7F4E" w:rsidRDefault="00AB7F4E" w14:paraId="238C9C26" w14:textId="77777777">
      <w:pPr>
        <w:ind w:left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name="_GoBack" w:id="0"/>
      <w:bookmarkEnd w:id="0"/>
    </w:p>
    <w:p w:rsidRPr="00F40BD5" w:rsidR="00E6183E" w:rsidP="00AB7F4E" w:rsidRDefault="3062160B" w14:paraId="601AA432" w14:textId="52C9600A">
      <w:pPr>
        <w:ind w:left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3062160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</w:t>
      </w:r>
      <w:r w:rsidR="35FD8D7A">
        <w:tab/>
      </w:r>
      <w:r w:rsidRPr="3062160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Lozovanu Ecaterina</w:t>
      </w:r>
    </w:p>
    <w:p w:rsidR="00785FAB" w:rsidP="00AB7F4E" w:rsidRDefault="00785FAB" w14:paraId="782AB4DD" w14:textId="12A59735">
      <w:pPr>
        <w:ind w:left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AB7F4E" w:rsidP="00AB7F4E" w:rsidRDefault="00AB7F4E" w14:paraId="75A68545" w14:textId="1053B10A">
      <w:pPr>
        <w:ind w:left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Pr="00F40BD5" w:rsidR="00AB7F4E" w:rsidP="00AB7F4E" w:rsidRDefault="00AB7F4E" w14:paraId="720514D2" w14:textId="77777777">
      <w:pPr>
        <w:ind w:left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Pr="00F40BD5" w:rsidR="00AB7F4E" w:rsidP="21A9A68B" w:rsidRDefault="00AB7F4E" w14:paraId="65118609" w14:textId="7777777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3062160B" w:rsidP="00AB7F4E" w:rsidRDefault="3062160B" w14:paraId="094FAD82" w14:textId="2F63DA5D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3062160B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:rsidR="3062160B" w:rsidP="3062160B" w:rsidRDefault="00AB7F4E" w14:paraId="492B150D" w14:textId="6505102E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</w:t>
      </w:r>
      <w:r w:rsidRPr="00AB7F4E" w:rsidR="3062160B">
        <w:rPr>
          <w:rFonts w:ascii="Times New Roman" w:hAnsi="Times New Roman" w:eastAsia="Times New Roman" w:cs="Times New Roman"/>
          <w:b/>
          <w:sz w:val="24"/>
          <w:szCs w:val="24"/>
        </w:rPr>
        <w:t>George Berkeley</w:t>
      </w:r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(1685-1753)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irlandez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gram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avut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un impact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semnificativ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asupra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dezvoltării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moderne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ales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privește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problema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naturii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realității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existenței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obiectelor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cunoscută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sub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numele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"idealism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imaterial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"idealism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subiectiv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",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reprezentat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abordare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radicală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raport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materialistă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epocii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sale.</w:t>
      </w:r>
    </w:p>
    <w:p w:rsidR="00AB7F4E" w:rsidP="3062160B" w:rsidRDefault="00AB7F4E" w14:paraId="0E4AB404" w14:textId="7777777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3062160B" w:rsidRDefault="00AB7F4E" w14:paraId="2B8F9A74" w14:textId="0CD20F50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Berkeley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considerat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materialismul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mecanicist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reprezentativ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dăunător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faptul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era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potrivit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ateismului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ducea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imediat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scepticism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angajamentul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său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față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materie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permis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existența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ceva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independent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minte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ceva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putea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considerat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fi,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asemenea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independent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Dumnezeu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punând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astfel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bazele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negarea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existenței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Dumnezeu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creștin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desigur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Dumnezeu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joacă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rol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important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filozofiile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Descartes, Malebranche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Locke, Berkeley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credea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fără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îndoială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văzut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consecințele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materialismului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Hobbes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Spinoza, „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necredincioșii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notori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” ai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secolului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al XVII-lea.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Tendința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spre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scepticism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convingătoare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cititorul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modern: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distincția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calitate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primară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secundară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presupune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simțurile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noastre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ne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induc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eroare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sistematic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credem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mod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eronat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mărul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roșu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așa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cum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se pare a fi,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timp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roșeața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măr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putere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derivată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anumit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aranjament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particule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necolorate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permite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mărului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ne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facă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avem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roșu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AB7F4E" w:rsidP="3062160B" w:rsidRDefault="00AB7F4E" w14:paraId="71A226C2" w14:textId="7777777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3062160B" w:rsidRDefault="00AB7F4E" w14:paraId="726B6638" w14:textId="538D4F10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Ideea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principală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pe care Berkeley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propovăduia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viziunea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semnificația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simțului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atingerii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sufletului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imaginilor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formate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el. Cu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alte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cuvinte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orice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percepție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materiei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consecință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percepției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către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sufletul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unei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persoane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Doctrina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principală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idealismului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subiectiv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: "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numai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percepția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senzorială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asupra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lumii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Materia nu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doar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percepția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subiectivă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acesteia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Dumnezeu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trimite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formează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idei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care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persoană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simte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totul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această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lume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... ".</w:t>
      </w:r>
    </w:p>
    <w:p w:rsidR="76291272" w:rsidP="76291272" w:rsidRDefault="76291272" w14:paraId="3CFACD98" w14:textId="37870AE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6291272" w:rsidP="76291272" w:rsidRDefault="76291272" w14:paraId="1E66CD6B" w14:textId="373919E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Poziţia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Berkeley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faţă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conceptele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absolute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spaţiu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mişcare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putea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fi un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punct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reper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relativităţi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Einstein.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Ideea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bază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relativităţii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restrînse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timpul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şi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distanţele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unui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eveniment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măsurate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observatori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au,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general,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valori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diferite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dar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supun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totdeauna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aceloraşi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legi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fizice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aceasta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fiind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primul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postulat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relativităţii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restrînse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Al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doilea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postulat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nu are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tangenţă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idealismul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Berkeley,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deoarece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postulatul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viteza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luminii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vid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egală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oricare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observator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fiind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noţiune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absolută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Ignorînd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doilea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postulat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putem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relativităţii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oglindirea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perfectă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filosofiei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Berkeley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şi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drept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exemplu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putem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consecinţele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relativităţii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restrînse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6291272" w:rsidP="76291272" w:rsidRDefault="76291272" w14:paraId="621DD136" w14:textId="365D0045">
      <w:pPr>
        <w:pStyle w:val="Normal"/>
        <w:ind w:left="0"/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1)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Relativitatea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simultanităţii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Două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evenimente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simultane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observator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nu pot fi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simultane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un alt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observator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dacă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observatorii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mişcare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6291272" w:rsidP="76291272" w:rsidRDefault="76291272" w14:paraId="2250B1E5" w14:textId="06B6C88A">
      <w:pPr>
        <w:pStyle w:val="Normal"/>
        <w:ind w:left="0"/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2) Dilatarea timpului: Ceasurile ce au fost mişcate rămîn în urmă faţă de alte ceasuri ” staţionare”.</w:t>
      </w:r>
    </w:p>
    <w:p w:rsidR="76291272" w:rsidP="76291272" w:rsidRDefault="76291272" w14:paraId="075C47EE" w14:textId="49418B95">
      <w:pPr>
        <w:pStyle w:val="Normal"/>
        <w:ind w:left="0"/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3)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Viteza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maximă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finită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nici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obiect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fizic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sau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altceva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călători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repede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decât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viteza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luminii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vid</w:t>
      </w:r>
    </w:p>
    <w:p w:rsidR="00AB7F4E" w:rsidP="3062160B" w:rsidRDefault="00AB7F4E" w14:paraId="6F1F0AB3" w14:textId="7777777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76291272" w:rsidRDefault="00AB7F4E" w14:paraId="661F8602" w14:textId="6FF42A0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înțelegerea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filosofului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Conform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opiniilor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gânditorului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existența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altor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suflete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care au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apariție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"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finală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doar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rațiune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plauzibilă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plauzibilă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bazată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analogii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xPrintre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lucrările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sale sunt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interesante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: "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Experiența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unei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noi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viziunii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", "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Tratatul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asupra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principiilor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cunoașterii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umane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", "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Trei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conversații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între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Hylas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Philon".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publicarea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lucrării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privind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nouă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viziune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tânărul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filosof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stabilește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scopul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diminua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importanța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calităților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primare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care se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dovedesc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fi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independente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conștiința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noastră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realitatea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materiei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deosebire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Descartes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despre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lungimea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cadavrelor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care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câștigat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deja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popularitate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moment,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dezvăluie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dependența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percepției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distanței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formei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poziției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obiectelor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viziune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Potrivit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filozofului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legătura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dintre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diferite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senzații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câmp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logică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format din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experiență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Printre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lucrările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gânditorului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s-au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numărat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diferite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reflecții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inclusiv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cele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părtinire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teologică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Dar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una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dintre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cele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interesante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lucrări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"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Trei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Dialoguri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Hila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Philon" (George Berkeley -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Filosofie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), pe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scurt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despre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care se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spune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acest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lucru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autorul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pus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problema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percepției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metafizice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relativității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înțelegerii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realității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precum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fenomenalismului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lucrarea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Berkeley,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Mișcarea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contestă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opiniile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Newtoniană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privind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înțelegerea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abstractă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mișcării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Abordarea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filosofică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George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mișcarea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independentă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spațiu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timp.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numai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acest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concept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fost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criticat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filozof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ci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multe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alte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categorii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Newton.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Vremea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Berkeley coincide cu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perioada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realizări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domeniile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mecanicii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matematicii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particular cu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eminentul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său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contemporan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Isaac Newton, care era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figură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prim plan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această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epocă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Newton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subscria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la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concepție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substanțială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lumii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poziție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cu care Berkeley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toți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empiriștii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englezi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erau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acord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Aceștia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susțineau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perspectivă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relațională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asupra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lumii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însă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când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veni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vorba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argumentarea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existenței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Dumnezeu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aceștia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păreau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abandoneze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pozițiile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favoarea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concepției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substanțiale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Concepția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substanțială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promovată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Newton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implica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existența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spațiului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absolut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timpului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absolut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mișcării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absolute,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concepte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pe care Berkeley le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considera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problematici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domeniul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metafizicii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ceea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privește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substanța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Berkeley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adoptă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poziție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opțională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Critica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vizează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special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teoria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substanței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materiale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eliminând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-o din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sfera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cercetării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și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concentrându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-se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asupra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substanței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spirituale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. Berkeley refuză realitatea obiectivă. Din punctul lui de</w:t>
      </w:r>
    </w:p>
    <w:p w:rsidR="3062160B" w:rsidP="76291272" w:rsidRDefault="00AB7F4E" w14:paraId="03F50E7F" w14:textId="21615871">
      <w:pPr>
        <w:pStyle w:val="Normal"/>
        <w:ind w:left="0"/>
      </w:pP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vedere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lipsite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realitatea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obiectivă sunt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şi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abstracţiile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generale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tipul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spaţiu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timp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materie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substanţă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Critică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raţionamentul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lui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Newton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privitor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mişcarea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absolută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spaţiu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absolut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spunînd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toate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acestea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vede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existenţă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aparte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faţă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aceleaşi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>concepte</w:t>
      </w:r>
      <w:r w:rsidRPr="76291272" w:rsidR="76291272">
        <w:rPr>
          <w:rFonts w:ascii="Times New Roman" w:hAnsi="Times New Roman" w:eastAsia="Times New Roman" w:cs="Times New Roman"/>
          <w:sz w:val="24"/>
          <w:szCs w:val="24"/>
        </w:rPr>
        <w:t xml:space="preserve"> relative.</w:t>
      </w:r>
    </w:p>
    <w:p w:rsidR="00AB7F4E" w:rsidP="3062160B" w:rsidRDefault="00AB7F4E" w14:paraId="173D89C9" w14:textId="7777777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3062160B" w:rsidRDefault="00AB7F4E" w14:paraId="43618A3C" w14:textId="7E625AF4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Berkeley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singularul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numai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el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senzaţii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Însă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realitate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nu se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înţelege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nimic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independent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senzaţii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tratatul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începuturile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conştiinţei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umane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”, Berkeley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întreabă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062160B" w:rsidP="3062160B" w:rsidRDefault="3062160B" w14:paraId="66B0E3B0" w14:textId="57331374">
      <w:pPr>
        <w:ind w:left="0"/>
      </w:pPr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-Ce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fapte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întruneşte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termenul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materie</w:t>
      </w:r>
      <w:proofErr w:type="spellEnd"/>
      <w:proofErr w:type="gramStart"/>
      <w:r w:rsidRPr="3062160B">
        <w:rPr>
          <w:rFonts w:ascii="Times New Roman" w:hAnsi="Times New Roman" w:eastAsia="Times New Roman" w:cs="Times New Roman"/>
          <w:sz w:val="24"/>
          <w:szCs w:val="24"/>
        </w:rPr>
        <w:t>”</w:t>
      </w:r>
      <w:r w:rsidR="00AB7F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62160B">
        <w:rPr>
          <w:rFonts w:ascii="Times New Roman" w:hAnsi="Times New Roman" w:eastAsia="Times New Roman" w:cs="Times New Roman"/>
          <w:sz w:val="24"/>
          <w:szCs w:val="24"/>
        </w:rPr>
        <w:t>?</w:t>
      </w:r>
      <w:proofErr w:type="gram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raspunzând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062160B" w:rsidP="3062160B" w:rsidRDefault="3062160B" w14:paraId="35321DCA" w14:textId="6216D5D9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062160B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Aceste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fapte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rând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senzaţii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062160B" w:rsidP="3062160B" w:rsidRDefault="3062160B" w14:paraId="70A3C458" w14:textId="7FCCA61D">
      <w:pPr>
        <w:ind w:left="0"/>
      </w:pP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Orice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obiect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el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totalitate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senzaţii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Omul nu are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posibiliatea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construiască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idei</w:t>
      </w:r>
      <w:proofErr w:type="spellEnd"/>
    </w:p>
    <w:p w:rsidR="3062160B" w:rsidP="3062160B" w:rsidRDefault="3062160B" w14:paraId="3B3FE773" w14:textId="5D7E2D18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generale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ba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chiar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imposibil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înţeles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idee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generală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Ideile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generale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existente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ficţii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idei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obiectele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singulare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care sunt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prezentate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drept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idei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universale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Idei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spaţiu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timp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substanţă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ficţiuni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creierului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uman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Captivant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concepţia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Berkeley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neagă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existenţa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lumii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obiective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lumii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afara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noastră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Spiritul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uman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singur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3062160B">
        <w:rPr>
          <w:rFonts w:ascii="Times New Roman" w:hAnsi="Times New Roman" w:eastAsia="Times New Roman" w:cs="Times New Roman"/>
          <w:sz w:val="24"/>
          <w:szCs w:val="24"/>
        </w:rPr>
        <w:t>lume</w:t>
      </w:r>
      <w:proofErr w:type="spellEnd"/>
      <w:r w:rsidRP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AB7F4E" w:rsidP="3062160B" w:rsidRDefault="00AB7F4E" w14:paraId="4C94D765" w14:textId="7777777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3062160B" w:rsidRDefault="00AB7F4E" w14:paraId="41525328" w14:textId="61E8B79B">
      <w:pPr>
        <w:spacing w:after="240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George Berkeley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reprezentat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schimbare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semnificativă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modul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percepeam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lumea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înconjurătoare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respingerea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existenței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materiei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afara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minții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susținerea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tot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percepții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Berkeley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deschis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noi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perspective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influențat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lastRenderedPageBreak/>
        <w:t>gânditori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ulteriori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Cu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acestea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idealismul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său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imaterial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asemenea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subiectul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unor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critici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dezbateri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marcând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astfel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etapă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importantă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evoluția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gândirii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Învățătura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Berkeley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intrat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manualele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viziuni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empirice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Mai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mult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o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generație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filozofi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impresionată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teoria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accepta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dezvolta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respinge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Punctele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sale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vedere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câștigat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mare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popularitate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teritoriul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Poloniei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însă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multe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țări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slavice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răspândit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ocupat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un loc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demn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rândul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acestor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lucrări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idealismului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imaterial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Berkeley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respins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existența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materiei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afara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minții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argumentat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tot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percepții.Berkeley</w:t>
      </w:r>
      <w:proofErr w:type="spellEnd"/>
      <w:proofErr w:type="gram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influențat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profund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direcția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gândirii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ulterioare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având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un impact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deosebit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dezvoltarea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idealismului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german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lucrările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Immanuel Kant.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Totuși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nu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lipsită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critici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Problemele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legate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explicarea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existenței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obiectelor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absența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percepției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puncte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dispută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unele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aspecte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idealismului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său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considerate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dificil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susținut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practică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Cu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acestea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contribuțiile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Berkeley la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epistemologie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metafizică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rămas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semnificative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deschizând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calea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dezbateri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ulterioare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privind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natura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realității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cunoașterii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continuă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studiată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dezbatută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considerată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una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dintre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pietrele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temelie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gândirii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filosofice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moderne</w:t>
      </w:r>
      <w:proofErr w:type="spellEnd"/>
      <w:r w:rsidRPr="3062160B" w:rsidR="3062160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062160B" w:rsidP="3062160B" w:rsidRDefault="3062160B" w14:paraId="26B96B4D" w14:textId="2D65C876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3062160B" w:rsidRDefault="3062160B" w14:paraId="65FFC1AA" w14:textId="6F679C8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062160B" w:rsidP="3062160B" w:rsidRDefault="3062160B" w14:paraId="0DD78FA9" w14:textId="49C49649">
      <w:pPr>
        <w:pStyle w:val="Titlu1"/>
      </w:pPr>
      <w:proofErr w:type="spellStart"/>
      <w:r w:rsidRPr="3062160B">
        <w:t>Bibliografie</w:t>
      </w:r>
      <w:proofErr w:type="spellEnd"/>
    </w:p>
    <w:p w:rsidR="3062160B" w:rsidP="3062160B" w:rsidRDefault="00BD6D3B" w14:paraId="418E10AF" w14:textId="5CFDAB77">
      <w:pPr>
        <w:pStyle w:val="Listparagraf"/>
        <w:numPr>
          <w:ilvl w:val="0"/>
          <w:numId w:val="1"/>
        </w:numPr>
      </w:pPr>
      <w:hyperlink r:id="rId9">
        <w:r w:rsidRPr="3062160B" w:rsidR="3062160B">
          <w:rPr>
            <w:rStyle w:val="Hyperlink"/>
          </w:rPr>
          <w:t>https://ro.delachieve.com/george-berkeley-filozofie-idei-de-baza-biografie/</w:t>
        </w:r>
      </w:hyperlink>
    </w:p>
    <w:p w:rsidR="3062160B" w:rsidP="3062160B" w:rsidRDefault="00BD6D3B" w14:paraId="499DECC3" w14:textId="14530461">
      <w:pPr>
        <w:pStyle w:val="Listparagraf"/>
        <w:numPr>
          <w:ilvl w:val="0"/>
          <w:numId w:val="1"/>
        </w:numPr>
      </w:pPr>
      <w:hyperlink r:id="rId10">
        <w:r w:rsidRPr="3062160B" w:rsidR="3062160B">
          <w:rPr>
            <w:rStyle w:val="Hyperlink"/>
          </w:rPr>
          <w:t>https://literariness.org/2019/04/22/the-philosophy-of-george-berkeley/</w:t>
        </w:r>
      </w:hyperlink>
    </w:p>
    <w:sectPr w:rsidR="3062160B" w:rsidSect="00E47B08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D3B" w:rsidP="00E6183E" w:rsidRDefault="00BD6D3B" w14:paraId="3BB156AF" w14:textId="77777777">
      <w:pPr>
        <w:spacing w:line="240" w:lineRule="auto"/>
      </w:pPr>
      <w:r>
        <w:separator/>
      </w:r>
    </w:p>
  </w:endnote>
  <w:endnote w:type="continuationSeparator" w:id="0">
    <w:p w:rsidR="00BD6D3B" w:rsidP="00E6183E" w:rsidRDefault="00BD6D3B" w14:paraId="3731DFD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Antet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Antet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Antet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D3B" w:rsidP="00E6183E" w:rsidRDefault="00BD6D3B" w14:paraId="319D7D7C" w14:textId="77777777">
      <w:pPr>
        <w:spacing w:line="240" w:lineRule="auto"/>
      </w:pPr>
      <w:r>
        <w:separator/>
      </w:r>
    </w:p>
  </w:footnote>
  <w:footnote w:type="continuationSeparator" w:id="0">
    <w:p w:rsidR="00BD6D3B" w:rsidP="00E6183E" w:rsidRDefault="00BD6D3B" w14:paraId="1C3CF86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Antet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Antet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Antet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Antet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Antet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Antet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305F24E"/>
    <w:multiLevelType w:val="hybridMultilevel"/>
    <w:tmpl w:val="4F4217EE"/>
    <w:lvl w:ilvl="0" w:tplc="61149952">
      <w:start w:val="1"/>
      <w:numFmt w:val="decimal"/>
      <w:lvlText w:val="%1."/>
      <w:lvlJc w:val="left"/>
      <w:pPr>
        <w:ind w:left="720" w:hanging="360"/>
      </w:pPr>
    </w:lvl>
    <w:lvl w:ilvl="1" w:tplc="4560F394">
      <w:start w:val="1"/>
      <w:numFmt w:val="lowerLetter"/>
      <w:lvlText w:val="%2."/>
      <w:lvlJc w:val="left"/>
      <w:pPr>
        <w:ind w:left="1440" w:hanging="360"/>
      </w:pPr>
    </w:lvl>
    <w:lvl w:ilvl="2" w:tplc="0EFE9690">
      <w:start w:val="1"/>
      <w:numFmt w:val="lowerRoman"/>
      <w:lvlText w:val="%3."/>
      <w:lvlJc w:val="right"/>
      <w:pPr>
        <w:ind w:left="2160" w:hanging="180"/>
      </w:pPr>
    </w:lvl>
    <w:lvl w:ilvl="3" w:tplc="C11E2CDC">
      <w:start w:val="1"/>
      <w:numFmt w:val="decimal"/>
      <w:lvlText w:val="%4."/>
      <w:lvlJc w:val="left"/>
      <w:pPr>
        <w:ind w:left="2880" w:hanging="360"/>
      </w:pPr>
    </w:lvl>
    <w:lvl w:ilvl="4" w:tplc="7BD292E0">
      <w:start w:val="1"/>
      <w:numFmt w:val="lowerLetter"/>
      <w:lvlText w:val="%5."/>
      <w:lvlJc w:val="left"/>
      <w:pPr>
        <w:ind w:left="3600" w:hanging="360"/>
      </w:pPr>
    </w:lvl>
    <w:lvl w:ilvl="5" w:tplc="26EA3D88">
      <w:start w:val="1"/>
      <w:numFmt w:val="lowerRoman"/>
      <w:lvlText w:val="%6."/>
      <w:lvlJc w:val="right"/>
      <w:pPr>
        <w:ind w:left="4320" w:hanging="180"/>
      </w:pPr>
    </w:lvl>
    <w:lvl w:ilvl="6" w:tplc="013CBF76">
      <w:start w:val="1"/>
      <w:numFmt w:val="decimal"/>
      <w:lvlText w:val="%7."/>
      <w:lvlJc w:val="left"/>
      <w:pPr>
        <w:ind w:left="5040" w:hanging="360"/>
      </w:pPr>
    </w:lvl>
    <w:lvl w:ilvl="7" w:tplc="99FCF51E">
      <w:start w:val="1"/>
      <w:numFmt w:val="lowerLetter"/>
      <w:lvlText w:val="%8."/>
      <w:lvlJc w:val="left"/>
      <w:pPr>
        <w:ind w:left="5760" w:hanging="360"/>
      </w:pPr>
    </w:lvl>
    <w:lvl w:ilvl="8" w:tplc="0114D6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13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A63C8"/>
    <w:rsid w:val="000B27D6"/>
    <w:rsid w:val="000E1C44"/>
    <w:rsid w:val="0012284F"/>
    <w:rsid w:val="001B21F5"/>
    <w:rsid w:val="0021789D"/>
    <w:rsid w:val="002506C4"/>
    <w:rsid w:val="002B48B3"/>
    <w:rsid w:val="00354083"/>
    <w:rsid w:val="00360314"/>
    <w:rsid w:val="00376EE1"/>
    <w:rsid w:val="00404425"/>
    <w:rsid w:val="00424173"/>
    <w:rsid w:val="00427CFE"/>
    <w:rsid w:val="00471EF1"/>
    <w:rsid w:val="004B1B0B"/>
    <w:rsid w:val="004F4C94"/>
    <w:rsid w:val="00505FB2"/>
    <w:rsid w:val="00512746"/>
    <w:rsid w:val="00557640"/>
    <w:rsid w:val="00584F75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802E67"/>
    <w:rsid w:val="00807663"/>
    <w:rsid w:val="0091447A"/>
    <w:rsid w:val="00954E3D"/>
    <w:rsid w:val="009D4A62"/>
    <w:rsid w:val="009F00CA"/>
    <w:rsid w:val="009F41E8"/>
    <w:rsid w:val="00A41A8C"/>
    <w:rsid w:val="00AB57F1"/>
    <w:rsid w:val="00AB7F4E"/>
    <w:rsid w:val="00BD6D3B"/>
    <w:rsid w:val="00C0666E"/>
    <w:rsid w:val="00C10095"/>
    <w:rsid w:val="00C5252D"/>
    <w:rsid w:val="00CB52B5"/>
    <w:rsid w:val="00CD248C"/>
    <w:rsid w:val="00CF1774"/>
    <w:rsid w:val="00D519DC"/>
    <w:rsid w:val="00D84EA2"/>
    <w:rsid w:val="00E466C8"/>
    <w:rsid w:val="00E47B08"/>
    <w:rsid w:val="00E6183E"/>
    <w:rsid w:val="00E75D97"/>
    <w:rsid w:val="00F168E7"/>
    <w:rsid w:val="00F32EC9"/>
    <w:rsid w:val="00F40BD5"/>
    <w:rsid w:val="00F6680A"/>
    <w:rsid w:val="00F82377"/>
    <w:rsid w:val="00FD5645"/>
    <w:rsid w:val="05ECCC18"/>
    <w:rsid w:val="094F9327"/>
    <w:rsid w:val="09CF49DE"/>
    <w:rsid w:val="0DBBD314"/>
    <w:rsid w:val="18D7A545"/>
    <w:rsid w:val="1D529980"/>
    <w:rsid w:val="1F43F346"/>
    <w:rsid w:val="21A9A68B"/>
    <w:rsid w:val="21EE607E"/>
    <w:rsid w:val="22B2AC4B"/>
    <w:rsid w:val="25517C17"/>
    <w:rsid w:val="285F2999"/>
    <w:rsid w:val="2C1D6F3C"/>
    <w:rsid w:val="305CD6CA"/>
    <w:rsid w:val="3062160B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454123E"/>
    <w:rsid w:val="76291272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123E"/>
  <w15:chartTrackingRefBased/>
  <w15:docId w15:val="{0FF9151E-8546-40F7-BB85-3E30F8A2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183E"/>
  </w:style>
  <w:style w:type="paragraph" w:styleId="Titlu1">
    <w:name w:val="heading 1"/>
    <w:basedOn w:val="Normal"/>
    <w:next w:val="Normal"/>
    <w:link w:val="Titlu1Caracte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character" w:styleId="Titlu1Caracter" w:customStyle="1">
    <w:name w:val="Titlu 1 Caracter"/>
    <w:basedOn w:val="Fontdeparagrafimplicit"/>
    <w:link w:val="Titlu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AntetCaracter" w:customStyle="1">
    <w:name w:val="Antet Caracter"/>
    <w:basedOn w:val="Fontdeparagrafimplicit"/>
    <w:link w:val="Antet"/>
    <w:uiPriority w:val="99"/>
    <w:rsid w:val="00E6183E"/>
  </w:style>
  <w:style w:type="paragraph" w:styleId="Subsol">
    <w:name w:val="footer"/>
    <w:basedOn w:val="Normal"/>
    <w:link w:val="SubsolCaracte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SubsolCaracter" w:customStyle="1">
    <w:name w:val="Subsol Caracter"/>
    <w:basedOn w:val="Fontdeparagrafimplicit"/>
    <w:link w:val="Subsol"/>
    <w:uiPriority w:val="99"/>
    <w:rsid w:val="00E6183E"/>
  </w:style>
  <w:style w:type="paragraph" w:styleId="Cuprins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Fontdeparagrafimplicit"/>
    <w:uiPriority w:val="99"/>
    <w:unhideWhenUsed/>
    <w:rsid w:val="00E6183E"/>
    <w:rPr>
      <w:color w:val="0563C1" w:themeColor="hyperlink"/>
      <w:u w:val="single"/>
    </w:rPr>
  </w:style>
  <w:style w:type="paragraph" w:styleId="Frspaiere">
    <w:name w:val="No Spacing"/>
    <w:uiPriority w:val="1"/>
    <w:qFormat/>
    <w:rsid w:val="004F4C94"/>
    <w:pPr>
      <w:spacing w:line="240" w:lineRule="auto"/>
    </w:pPr>
  </w:style>
  <w:style w:type="paragraph" w:styleId="Legend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f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elgril">
    <w:name w:val="Table Grid"/>
    <w:basedOn w:val="Tabel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extsubstituent">
    <w:name w:val="Placeholder Text"/>
    <w:basedOn w:val="Fontdeparagrafimplicit"/>
    <w:uiPriority w:val="99"/>
    <w:semiHidden/>
    <w:rsid w:val="00734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literariness.org/2019/04/22/the-philosophy-of-george-berkeley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ro.delachieve.com/george-berkeley-filozofie-idei-de-baza-biografie/" TargetMode="Externa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2b6993144a948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26f-4dc4-477f-8f33-5130a856e47f}"/>
      </w:docPartPr>
      <w:docPartBody>
        <w:p w14:paraId="56DA15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1F602-3815-4243-977B-3869D786ED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3</revision>
  <dcterms:created xsi:type="dcterms:W3CDTF">2024-01-26T19:18:00.0000000Z</dcterms:created>
  <dcterms:modified xsi:type="dcterms:W3CDTF">2024-01-26T20:45:38.6357113Z</dcterms:modified>
</coreProperties>
</file>