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Pr="00CE29F6" w:rsidRDefault="00EB482E" w:rsidP="00EB482E">
      <w:pPr>
        <w:rPr>
          <w:rFonts w:ascii="Arial" w:hAnsi="Arial" w:cs="Arial"/>
          <w:b/>
          <w:bCs/>
          <w:sz w:val="16"/>
          <w:szCs w:val="16"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>– 202</w:t>
      </w:r>
      <w:r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</w:t>
      </w:r>
      <w:r w:rsidR="00616A48">
        <w:rPr>
          <w:rFonts w:ascii="Arial" w:hAnsi="Arial" w:cs="Arial"/>
          <w:b/>
          <w:sz w:val="20"/>
          <w:szCs w:val="20"/>
        </w:rPr>
        <w:t>Harvard</w:t>
      </w:r>
      <w:r w:rsidR="00616A48">
        <w:rPr>
          <w:rFonts w:ascii="Arial" w:hAnsi="Arial" w:cs="Arial"/>
          <w:b/>
          <w:sz w:val="20"/>
          <w:szCs w:val="20"/>
        </w:rPr>
        <w:t xml:space="preserve"> &amp; Smithsonian </w:t>
      </w:r>
    </w:p>
    <w:p w14:paraId="008F8A0D" w14:textId="5317711D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Postdoctoral Fellowship</w:t>
      </w:r>
    </w:p>
    <w:p w14:paraId="2DCE1D2B" w14:textId="01B7B73B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CE29F6" w:rsidRDefault="008C71A6" w:rsidP="008C71A6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>Grants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642CE774" w:rsidR="00EA3024" w:rsidRPr="00EA3024" w:rsidRDefault="00EA3024" w:rsidP="00EA3024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Wilkins et al.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“</w:t>
      </w:r>
      <w:r w:rsidRPr="00EA302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Wide Area First Light Survey</w:t>
      </w:r>
      <w:r w:rsidR="00A93E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”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 James Webb Space Telescope</w:t>
      </w: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37FD477" w:rsidR="001D3563" w:rsidRPr="00CE29F6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731B152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7C7F0E">
        <w:rPr>
          <w:rFonts w:ascii="Arial" w:hAnsi="Arial" w:cs="Arial"/>
          <w:bCs/>
          <w:sz w:val="20"/>
          <w:szCs w:val="20"/>
        </w:rPr>
        <w:t>July 2021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6043041" w14:textId="7B0169B8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</w:t>
      </w:r>
      <w:r>
        <w:rPr>
          <w:rFonts w:ascii="Arial" w:eastAsia="Times New Roman" w:hAnsi="Arial" w:cs="Arial"/>
          <w:iCs/>
          <w:sz w:val="20"/>
          <w:szCs w:val="20"/>
        </w:rPr>
        <w:t>Texas</w:t>
      </w:r>
      <w:r>
        <w:rPr>
          <w:rFonts w:ascii="Arial" w:eastAsia="Times New Roman" w:hAnsi="Arial" w:cs="Arial"/>
          <w:iCs/>
          <w:sz w:val="20"/>
          <w:szCs w:val="20"/>
        </w:rPr>
        <w:t xml:space="preserve"> at </w:t>
      </w:r>
      <w:r>
        <w:rPr>
          <w:rFonts w:ascii="Arial" w:eastAsia="Times New Roman" w:hAnsi="Arial" w:cs="Arial"/>
          <w:iCs/>
          <w:sz w:val="20"/>
          <w:szCs w:val="20"/>
        </w:rPr>
        <w:t>Austin</w:t>
      </w:r>
      <w:r>
        <w:rPr>
          <w:rFonts w:ascii="Arial" w:eastAsia="Times New Roman" w:hAnsi="Arial" w:cs="Arial"/>
          <w:iCs/>
          <w:sz w:val="20"/>
          <w:szCs w:val="20"/>
        </w:rPr>
        <w:t xml:space="preserve">, </w:t>
      </w:r>
      <w:r>
        <w:rPr>
          <w:rFonts w:ascii="Arial" w:eastAsia="Times New Roman" w:hAnsi="Arial" w:cs="Arial"/>
          <w:iCs/>
          <w:sz w:val="20"/>
          <w:szCs w:val="20"/>
        </w:rPr>
        <w:t>Austin</w:t>
      </w:r>
      <w:r>
        <w:rPr>
          <w:rFonts w:ascii="Arial" w:eastAsia="Times New Roman" w:hAnsi="Arial" w:cs="Arial"/>
          <w:iCs/>
          <w:sz w:val="20"/>
          <w:szCs w:val="20"/>
        </w:rPr>
        <w:t xml:space="preserve">, </w:t>
      </w:r>
      <w:r>
        <w:rPr>
          <w:rFonts w:ascii="Arial" w:eastAsia="Times New Roman" w:hAnsi="Arial" w:cs="Arial"/>
          <w:iCs/>
          <w:sz w:val="20"/>
          <w:szCs w:val="20"/>
        </w:rPr>
        <w:t>Texas</w:t>
      </w:r>
      <w:r>
        <w:rPr>
          <w:rFonts w:ascii="Arial" w:eastAsia="Times New Roman" w:hAnsi="Arial" w:cs="Arial"/>
          <w:iCs/>
          <w:sz w:val="20"/>
          <w:szCs w:val="20"/>
        </w:rPr>
        <w:t xml:space="preserve"> (</w:t>
      </w:r>
      <w:r>
        <w:rPr>
          <w:rFonts w:ascii="Arial" w:eastAsia="Times New Roman" w:hAnsi="Arial" w:cs="Arial"/>
          <w:iCs/>
          <w:sz w:val="20"/>
          <w:szCs w:val="20"/>
        </w:rPr>
        <w:t>2</w:t>
      </w:r>
      <w:r>
        <w:rPr>
          <w:rFonts w:ascii="Arial" w:eastAsia="Times New Roman" w:hAnsi="Arial" w:cs="Arial"/>
          <w:iCs/>
          <w:sz w:val="20"/>
          <w:szCs w:val="20"/>
        </w:rPr>
        <w:t>/</w:t>
      </w:r>
      <w:r>
        <w:rPr>
          <w:rFonts w:ascii="Arial" w:eastAsia="Times New Roman" w:hAnsi="Arial" w:cs="Arial"/>
          <w:iCs/>
          <w:sz w:val="20"/>
          <w:szCs w:val="20"/>
        </w:rPr>
        <w:t>8</w:t>
      </w:r>
      <w:r>
        <w:rPr>
          <w:rFonts w:ascii="Arial" w:eastAsia="Times New Roman" w:hAnsi="Arial" w:cs="Arial"/>
          <w:iCs/>
          <w:sz w:val="20"/>
          <w:szCs w:val="20"/>
        </w:rPr>
        <w:t>/202</w:t>
      </w:r>
      <w:r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nomy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789A357A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Urbana-Champaign, Champaign, Illinois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02FC7843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Arizona, Tucson, Arizona 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61F13E31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6DC235E6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5D3BC89" w14:textId="77777777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5D45F8D4" w14:textId="6067B91A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0634FD5B" w14:textId="39E8368B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1C814BF7" w14:textId="77777777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77777777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52CF786B" w14:textId="77777777" w:rsidR="008C71A6" w:rsidRPr="002D227F" w:rsidRDefault="008C71A6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77777777" w:rsidR="008C71A6" w:rsidRPr="00794C55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784EC710" w14:textId="77777777" w:rsidR="008C71A6" w:rsidRPr="006B75D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NASA Astrophysics Theory Program grant review panelist 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CF6E195" w14:textId="18A02939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2019, 2020</w:t>
      </w:r>
      <w:r w:rsidR="008946DB">
        <w:rPr>
          <w:rFonts w:ascii="Arial" w:hAnsi="Arial" w:cs="Arial"/>
          <w:sz w:val="20"/>
          <w:szCs w:val="20"/>
        </w:rPr>
        <w:t>, 2021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3638FFE0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43BD0526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77777777" w:rsidR="008C71A6" w:rsidRPr="00F448B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49A4DC5" w14:textId="0F210BE7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75CB1DF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>February 2021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4DA0F1E4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326C9ACF" w14:textId="0B7BCF05" w:rsidR="00B76975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8EA05" w14:textId="77777777" w:rsidR="00CA576C" w:rsidRDefault="00CA576C" w:rsidP="00173889">
      <w:r>
        <w:separator/>
      </w:r>
    </w:p>
  </w:endnote>
  <w:endnote w:type="continuationSeparator" w:id="0">
    <w:p w14:paraId="039CEF46" w14:textId="77777777" w:rsidR="00CA576C" w:rsidRDefault="00CA576C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996A3" w14:textId="77777777" w:rsidR="00CA576C" w:rsidRDefault="00CA576C" w:rsidP="00173889">
      <w:r>
        <w:separator/>
      </w:r>
    </w:p>
  </w:footnote>
  <w:footnote w:type="continuationSeparator" w:id="0">
    <w:p w14:paraId="403D9FEA" w14:textId="77777777" w:rsidR="00CA576C" w:rsidRDefault="00CA576C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74B2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576C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E37BA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15474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2021-02-18T21:07:00Z</cp:lastPrinted>
  <dcterms:created xsi:type="dcterms:W3CDTF">2021-02-18T21:07:00Z</dcterms:created>
  <dcterms:modified xsi:type="dcterms:W3CDTF">2021-02-19T19:11:00Z</dcterms:modified>
</cp:coreProperties>
</file>