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НАУКИ И ВЫСШЕГО ОБРАЗОВАНИЯ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РОССИЙСКОЙ ФЕДЕРАЦИИ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«Рязанский государственный радиотехнический университет имени В.Ф. Уткина»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right"/>
      </w:pPr>
      <w:r>
        <w:rPr>
          <w:rFonts w:ascii="Times New Roman" w:hAnsi="Times New Roman"/>
          <w:b/>
          <w:i w:val="0"/>
          <w:sz w:val="28"/>
        </w:rPr>
        <w:t>«УТВЕРЖДАЮ»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Заведующий кафедрой АИТП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__________________ М.В. Ленков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«____» _______________ 2026 г.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ОТЧЁТ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 прохождении преддипломной практики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обучающегося 4 курса, 237 учебной группы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Воробьёва Павла Алексеевича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Направление подготовки: 15.03.04, Автоматизация технологических процессов и производств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Образовательная программа: Компьютерное проектирование и автоматизированное производство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Кафедра: «Автоматизации информационных и технологических процессов»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Сроки прохождения практики: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с «____» _______________ 2026 г.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по «____» _______________ 2026 г.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Руководитель практики: Сосулин Ю.А.</w:t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Рязань 2026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условиях масштабной трансформации российского рынка средств пожарной безопасности, обусловленной ужесточением нормативно-технической базы, запретом параллельного импорта противопожарной продукции и государственной политикой импортозамещения в радиоэлектронной промышленности, разработка инвестиционного проекта производственного предприятия приобретает высокую практическую значимость. Совокупность этих факторов формирует устойчивый спрос на продукцию отечественных производителей в сфере пожарной автоматики и создаёт благоприятные условия для входа новых игроков в сегмент малосерийного производства.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преддипломной практики является сбор, систематизация и обобщение материалов, необходимых для разработки выпускной квалификационной работы на тему «Инвестиционный проект производственного предприятия».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в ходе практики решались следующие задачи: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1) изучить нормативно-правовую базу в области инвестиционного проектирования и пожарной безопасности: Федеральный закон «Об инвестиционной деятельности в РФ», методические рекомендации по оценке эффективности инвестиционных проектов, ГОСТ Р 53325-2024, ТР ЕАЭС 043/2017, СП 484.1311500.2020;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2) провести технико-экономический анализ рынка систем пожарной сигнализации Российской Федерации, обосновать цели открытия предприятия и сформулировать постановку задачи инвестиционного проекта;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3) разработать производственную и организационную модель предприятия, включая технологический процесс сборки, автоматизированную систему управления качеством и календарный план реализации проекта;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4) построить финансовую модель инвестиционного проекта в программном комплексе Project Expert, рассчитать интегральные показатели эффективности и провести анализ чувствительности.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Объектом исследования выступает малое производственное предприятие ООО «СигналПром» как субъект инвестиционной и операционной деятельности в сфере радиоэлектронной промышленности. 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дымо-тепловых пожарных извещателей.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практики использованы расчётно-аналитический метод, метод сравнительного анализа, элементы сценарного моделирования и приёмы бизнес-планирования. Основным инструментом финансового моделирования являлся программный комплекс Project Expert 6 Holding. Информационную базу составили нормативно-правовые акты РФ в области пожарной безопасности, статистические данные Росстата и Банка России, аналитические материалы Минпромторга и Корпорации МСП.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Собранные в ходе практики материалы служат непосредственной основой для разработки всех глав выпускной квалификационной работы.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1 ТЕХНИКО-ЭКОНОМИЧЕСКОЕ ОБОСНОВАНИЕ ПРОЕКТА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инвестиционного проекта производственного предприятия потребовала комплексного анализа нескольких взаимосвязанных составляющих: обоснования целей открытия предприятия, детального изучения состояния рынка систем пожарной сигнализации Российской Федерации, а также выбора специализированного программного инструмента для построения финансовой модели. Начало проекта определено на 1 марта 2026 года; выход на операционную деятельность — с 1 июля 2026 года, по завершении четырёхмесячной инвестиционной фазы, включающей подготовку помещения, закупку оборудования и прохождение сертификации по ТР ЕАЭС 043/2017.</w:t>
      </w:r>
    </w:p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1.1 Обоснование целей открытия предприятия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инвестиционного проекта является создание малого производственного предприятия ООО «СигналПром», ориентированного на серийный выпуск комбинированных дымо-тепловых пожарных извещателей ИПК 212/101-1-СП «Сигнал» для B2B-сегмента — монтажных организаций и поставщиков оборудования систем безопасности.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Ключевыми драйверами создания предприятия являются: запрет параллельного импорта противопожарной продукции (Приказ Минпромторга №4611 от 08.10.2024); обновлённые нормативные требования ГОСТ Р 53325-2024 и СП 484.1311500.2020 (Изменение №1, сентябрь 2025 года), фактически обязывающие применять мультикритериальные извещатели на большинстве объектов; введение технологического сбора на импортируемую готовую электронику с 1 сентября 2026 года. Совокупность указанных мер создаёт защищённую рыночную нишу для отечественных производителей.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Принятая производственная модель — гибридная автоматизация: капиталоёмкие операции (SMT-монтаж печатных плат, литьё пластиковых корпусов) передаются контрактному производителю «Резонит», а операции с наивысшей добавленной стоимостью — финишная сборка, программирование микроконтроллеров и 100% автоматизированное метрологическое тестирование каждого изделия — выполняются на собственной производственной площадке. Данная модель снижает стартовые вложения до уровня, доступного малому бизнесу, и обеспечивает технологическое превосходство над крупными производителями, применяющими лишь выборочный контроль качества (1–5% от партии).</w:t>
      </w:r>
    </w:p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1.2 Анализ рынка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итогам 2025 года объём российского рынка пожарной автоматики достиг 54 млрд рублей (рост +10% к 2024 году); прогноз на 2026 год — около 58,8 млрд рублей (+8,9%). Динамика рынка приведена в таблице 1.1.</w:t>
      </w:r>
    </w:p>
    <w:p>
      <w:pPr>
        <w:spacing w:before="120" w:after="40" w:line="360" w:lineRule="exact"/>
        <w:ind w:firstLine="0"/>
        <w:jc w:val="center"/>
      </w:pPr>
      <w:r>
        <w:rPr>
          <w:rFonts w:ascii="Times New Roman" w:hAnsi="Times New Roman"/>
          <w:b/>
          <w:sz w:val="26"/>
        </w:rPr>
        <w:t>Таблица 1.1 — Динамика объёма российского рынка пожарной автоматики, 2023–2026 гг.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Год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Объём рынка, млрд руб.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Прирост к предыдущему году, %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2023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45,8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+6,5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2024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49,1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+7,2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2025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54,0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+10,0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2026 (прогноз)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58,8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+8,9</w:t>
            </w:r>
          </w:p>
        </w:tc>
      </w:tr>
    </w:tbl>
    <w:p>
      <w:pPr>
        <w:spacing w:before="8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Запрет параллельного импорта (Приказ Минпромторга №4611) привёл к тому, что к маю 2026 года доля отечественных производителей в государственном и корпоративном секторах приблизилась к абсолютным значениям. Ведущие игроки — ЗАО «НВП «Болид» (выручка 13,7 млрд руб.), ГК «Рубеж», АО «Эридан» — сосредоточены на крупносерийном производстве, оставляя незаполненной нишу малосерийных поставок монтажным организациям с гарантией 100% контроля качества каждого изделия.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Строительный сектор выступает фундаментальным драйвером спроса: в 2025 году введено 116,4 млн м² жилья (в том числе 62,1 млн м² ИЖС) и рекордный объём складской недвижимости (~8 млн м²). Каждый введённый объект в соответствии с Федеральным законом №123-ФЗ обязан быть оснащён системами пожарной автоматики.</w:t>
      </w:r>
    </w:p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1.3 Выбор инструмента анализа деятельности предприятия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построения финансовой модели проведён сравнительный анализ программных инструментов: Microsoft Excel, Alt-Invest и Project Expert 6 Holding. Выбран Project Expert как специализированный инструмент для создания предприятия «с нуля»: он обеспечивает структурированный ввод данных по инвестициям, затратам и маркетингу, автоматическое формирование прогнозных отчётов (P&amp;L, Cash Flow, баланс) и расчёт интегральных показателей эффективности (NPV, IRR, PI, DPP) по нескольким сценариям, что критически важно для анализа чувствительности проекта.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2 ПОСТАНОВКА ЗАДАЧИ И ПРОЕКТНАЯ ЧАСТЬ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втором этапе преддипломной практики сформулирована постановка задачи инвестиционного проекта, разработана его проектная часть: определены исходные данные, производственная и организационная модель предприятия, система управления качеством, календарный план и финансовая модель в Project Expert.</w:t>
      </w:r>
    </w:p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2.1 Постановка задачи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Инвестиционный проект производственного предприятия ООО «СигналПром» направлен на организацию сборочного участка по выпуску комбинированных дымо-тепловых пожарных извещателей ИПК 212/101-1-СП «Сигнал» с применением модели гибридной автоматизации. Горизонт планирования — 36 месяцев (3 года); начало проекта — 1 марта 2026 года; выход на операционную деятельность — 1 июля 2026 года. Ставка дисконтирования — 16%. Плановая производительность при полной загрузке — до 700 изделий в месяц. Обязательное условие: прохождение сертификации по ТР ЕАЭС 043/2017 до начала коммерческих продаж.</w:t>
      </w:r>
    </w:p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2.2 Исходные данные и производственная модель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Продукт — извещатель пожарный комбинированный (дымо-тепловой) ИПК 212/101-1-СП «Сигнал», объединяющий оптико-электронный дымовой канал (эффект рассеяния Тиндаля) и максимально-дифференциальный тепловой канал (NTC-термистор) с алгоритмом интеллектуальной фильтрации помех. Плановая отпускная цена — 1 350 руб./шт. Целевой сегмент — монтажные организации (B2B).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Технологический маршрут собственного участка: входной контроль комплектующих (платы после SMT, корпуса, датчики); финишная сборка (установка оптической камеры, термистора, индикатора); программирование микроконтроллера (J-Link программатор); калибровка и приёмо-сдаточные испытания на специализированных стендах; лазерная маркировка (серийный номер + QR-код); упаковка и складирование. SMT-монтаж и литьё корпусов выполняет подрядчик «Резонит».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Состав технологического оборудования собственного участка представлен в таблице 2.1.</w:t>
      </w:r>
    </w:p>
    <w:p>
      <w:pPr>
        <w:spacing w:before="120" w:after="40" w:line="360" w:lineRule="exact"/>
        <w:ind w:firstLine="0"/>
        <w:jc w:val="center"/>
      </w:pPr>
      <w:r>
        <w:rPr>
          <w:rFonts w:ascii="Times New Roman" w:hAnsi="Times New Roman"/>
          <w:b/>
          <w:sz w:val="26"/>
        </w:rPr>
        <w:t>Таблица 2.1 — Спецификация технологического оборудования сборочного участка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Позиция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Модель / описание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Стоимость, руб.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Монтажный стол ESD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Стол сборщика РЭА антистатический, 1200×600 мм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96 000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Паяльная станция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Lukey 702 ESD, температурная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Стенд программирования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Программатор J-Link Ultra+ + адаптеры + ПО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76 000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Стенд дымового канала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Аэродинамическая камера с дозированной подачей аэрозоля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320 000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Стенд теплового канала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Климатическая камера, ТЭН, ПИД-регулятор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280 000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ПК + MES-модуль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Пром. ПК + ПО прослеживаемости + управление стендами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160 000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Лазерный маркировщик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MOPA 20W, конвейерный, ESD-безопасный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210 000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Вибробункер-питатель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ВБ-200, дозатор мелких деталей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64 000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1 224 000</w:t>
            </w:r>
          </w:p>
        </w:tc>
      </w:tr>
    </w:tbl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2.3 Управление качеством и система прослеживаемости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Конкурентным преимуществом предприятия является 100% выходной контроль каждого изделия. Автоматизированная система управления качеством построена по трёхуровневой архитектуре: полевой уровень (испытательные стенды с датчиками концентрации аэрозоля, температуры, сканеры QR-кодов); уровень управления (промышленный контроллер, управляющий исполнительными механизмами стендов и фиксирующий сигнал испытуемого изделия); уровень MES (промышленный ПК с базой данных испытаний, привязанных к серийным номерам).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Испытание каждого изделия состоит из двух фаз. Фаза 1 (дымовой канал): в герметичную камеру подаётся дозированный аэрозоль пропиленгликоля; контроллер фиксирует момент срабатывания и сравнивает с нормативным диапазоном. Фаза 2 (тепловой канал): нагревательный элемент разгоняет температуру с градиентом ≥5 °C/мин; допустимый диапазон срабатывания — 54–70 °C. Результат каждого испытания фиксируется в базе данных MES с привязкой к серийному номеру. Изделия без записи о прохождении всех операций автоматически блокируются от выпуска.</w:t>
      </w:r>
    </w:p>
    <w:p>
      <w:pPr>
        <w:spacing w:before="200" w:after="80" w:line="360" w:lineRule="exact"/>
        <w:ind w:firstLine="0"/>
        <w:jc w:val="left"/>
      </w:pPr>
      <w:r>
        <w:rPr>
          <w:rFonts w:ascii="Times New Roman" w:hAnsi="Times New Roman"/>
          <w:b/>
          <w:sz w:val="28"/>
        </w:rPr>
        <w:t>2.4 Внесение данных в Project Expert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Финансовая модель построена в Project Expert 6 Holding (горизонт 36 мес., ставка дисконтирования 16%). В модель внесены: инвестиционный план (CAPEX = 4 974 482 руб.), план производства и продаж по периодам, операционные расходы (аренда, ФОТ, комплектующие, аутсорсинг SMT), план финансирования. Прогнозные отчёты (P&amp;L, Cash Flow, баланс) сформированы автоматически. Проведён анализ чувствительности NPV к отклонениям объёма продаж, отпускной цены и стоимости комплектующих в диапазоне ±20%.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3 ВЫВОДЫ ПО ЭКОНОМИЧЕСКОЙ ЭФФЕКТИВНОСТИ ПРОЕКТА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Производственная программа предприятия сформирована исходя из поэтапного освоения мощностей: инвестиционная фаза (март–июнь 2026 года), запуск производства с объёмом до 200 изделий/мес. (июль–сентябрь 2026 года), наращивание до 500 изделий/мес. (IV квартал 2026 года) и выход на максимальную загрузку 700 изделий/мес. (с I квартала 2027 года). Структура капитальных вложений представлена в таблице 3.1.</w:t>
      </w:r>
    </w:p>
    <w:p>
      <w:pPr>
        <w:spacing w:before="120" w:after="40" w:line="360" w:lineRule="exact"/>
        <w:ind w:firstLine="0"/>
        <w:jc w:val="center"/>
      </w:pPr>
      <w:r>
        <w:rPr>
          <w:rFonts w:ascii="Times New Roman" w:hAnsi="Times New Roman"/>
          <w:b/>
          <w:sz w:val="26"/>
        </w:rPr>
        <w:t>Таблица 3.1 — Структура капитальных вложений (CAPEX) инвестиционного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Статья расходов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Сумма, руб.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Доля, %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Технологическое оборудование участка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1 224 000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24,6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Подготовка производственного помещения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680 000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13,7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Сертификация по ТР ЕАЭС 043/2017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420 000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8,4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Первоначальный запас комплектующих (60 дней)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1 680 000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33,8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Прочие инвестиционные расходы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970 482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19,5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ИТОГО CAPEX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4 974 482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</w:tr>
    </w:tbl>
    <w:p>
      <w:pPr>
        <w:spacing w:before="8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Источники финансирования: собственные средства — 3 000 000 руб. (60,3%), банковский кредит — 1 974 482 руб. (39,7%) на 24 месяца. Расчёт интегральных показателей экономической эффективности выполнен в Project Expert 6 Holding и приведён в таблице 3.2.</w:t>
      </w:r>
    </w:p>
    <w:p>
      <w:pPr>
        <w:spacing w:before="120" w:after="40" w:line="360" w:lineRule="exact"/>
        <w:ind w:firstLine="0"/>
        <w:jc w:val="center"/>
      </w:pPr>
      <w:r>
        <w:rPr>
          <w:rFonts w:ascii="Times New Roman" w:hAnsi="Times New Roman"/>
          <w:b/>
          <w:sz w:val="26"/>
        </w:rPr>
        <w:t>Таблица 3.2 — Интегральные показатели экономической эффективности инвестиционного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Обозн.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Чистый дисконтированный доход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NPV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4 291 660 руб.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&gt; 0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Индекс прибыльности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PI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1,61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&gt; 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Внутренняя норма доходности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IRR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51,81 %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&gt; ставки диск.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Дисконтир. срок окупаемости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DPB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26 мес.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&lt; горизонта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</w:tbl>
    <w:p>
      <w:pPr>
        <w:spacing w:before="8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чувствительности NPV подтвердил, что наибольшее влияние на показатели эффективности оказывают объём продаж и отпускная цена реализации, в меньшей степени — стоимость комплектующих и постоянные расходы. При снижении ключевых параметров на 10–15% от базовых значений проект сохраняет положительный NPV и период окупаемости в пределах горизонта планирования, что подтверждает устойчивость инвестиционного проекта к умеренным рыночным рискам.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Точка безубыточности предприятия достигается при объёме реализации около 380 изделий в месяц (54% плановой мощности), что является достижимым показателем уже в течение второго–третьего месяца операционной деятельности.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преддипломной практики собраны и систематизированы материалы, необходимые для разработки выпускной квалификационной работы на тему «Инвестиционный проект производственного предприятия». Основные результаты практики: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1) Проведён технико-экономический анализ рынка систем пожарной сигнализации Российской Федерации. Установлено, что объём рынка составляет около 54 млрд руб. (прогноз 2026 года — 58,8 млрд руб.); нормативные изменения (ГОСТ Р 53325-2024, СП 484.1311500.2020 с Изменением №1, запрет параллельного импорта, технологический сбор) создают устойчивые конкурентные преимущества для отечественных малосерийных производителей.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2) Сформулирована постановка задачи инвестиционного проекта: создание ООО «СигналПром» по выпуску ИПК 212/101-1-СП «Сигнал» с применением модели гибридной автоматизации. Разработана производственная модель участка с детализацией технологического маршрута, спецификацией оборудования (CAPEX = 4 974 482 руб.) и системой управления качеством на базе MES со 100% выходным контролем каждого изделия.</w:t>
      </w:r>
    </w:p>
    <w:p>
      <w:pPr>
        <w:spacing w:before="0" w:after="0" w:line="36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3) Построена финансовая модель инвестиционного проекта в Project Expert 6 Holding (горизонт 36 мес., ставка дисконтирования 16%). Рассчитаны интегральные показатели: NPV = 4 291 660 руб., IRR = 51,81%, PI = 1,61, DPB = 26 месяцев. Проведён анализ чувствительности, подтвердивший устойчивость проекта к снижению ключевых параметров на 10–15%.</w:t>
      </w:r>
    </w:p>
    <w:p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разделы задания на преддипломную практику выполнены в установленные сроки. Собранные материалы полностью достаточны для написания всех глав выпускной квалификационной работы.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1. Федеральный закон от 25.02.1999 №39-ФЗ «Об инвестиционной деятельности в Российской Федерации, осуществляемой в форме капитальных вложений» (ред. 2023 г.).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2. Федеральный закон от 22.07.2008 №123-ФЗ «Технический регламент о требованиях пожарной безопасности» (ред. 2025 г.).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3. ТР ЕАЭС 043/2017. Технический регламент Евразийского экономического союза «О требованиях к средствам обеспечения пожарной безопасности и пожаротушения». — М., 2017.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4. ГОСТ Р 53325-2024. Технические средства пожарной автоматики. Общие технические требования. Методы испытаний. — М.: Стандартинформ, 2024.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5. СП 484.1311500.2020. Системы противопожарной защиты. Системы пожарной сигнализации и автоматизация систем противопожарной защиты. Нормы и правила проектирования (с Изменением №1, 2025 г.).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6. Методические рекомендации по оценке эффективности инвестиционных проектов (2-я редакция) / утв. Минэкономики РФ, Минфином РФ, Госстроем РФ от 21.06.1999 №ВК 477.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7. Постановление Правительства РФ от 17.07.2015 №719 «О подтверждении производства промышленной продукции на территории Российской Федерации» (ред. 2026 г.).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8. Приказ Минпромторга России №4611 от 08.10.2024 «О внесении изменений в перечень товаров, в отношении которых допускается параллельный импорт».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9. Виленский, П.Л. Оценка эффективности инвестиционных проектов / П.Л. Виленский, В.Н. Лившиц, С.А. Смоляк. — М.: Дело, 2008. — 1104 с.</w:t>
      </w:r>
    </w:p>
    <w:p>
      <w:pPr>
        <w:spacing w:before="4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10. Руководство пользователя Project Expert 7. — М.: Expert Systems, 2023.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