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3.4 Внесение данных в Project Expert</w:t>
      </w:r>
    </w:p>
    <w:p>
      <w:r>
        <w:t>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Project Expert 6 Holding. Программа обладает логичным и удобным интерфейсом, состоящим из тематических разделов, каждый из которых соответствует определённой стадии разработки и оценки проекта. Ввод информации происходит посредством интерактивных форм с разветвлённой системой полей и параметров.</w:t>
      </w:r>
    </w:p>
    <w:p>
      <w:r>
        <w:t>Все аналитические отчёты и прогнозы формируются на основе загруженных в систему исходных данных. Для комплексного бизнес-планирования в Project Expert требуется последовательное выполнение следующих действий:</w:t>
      </w:r>
    </w:p>
    <w:p>
      <w:pPr>
        <w:ind w:firstLine="709"/>
      </w:pPr>
      <w:r>
        <w:t>– заполнение основных параметров проекта: настройка расчётных модулей, указание номенклатуры продукции, установление единиц измерения и сроков выхода на рынок;</w:t>
      </w:r>
    </w:p>
    <w:p>
      <w:pPr>
        <w:ind w:firstLine="709"/>
      </w:pPr>
      <w:r>
        <w:t>– формирование макроэкономических условий: выбор валютных курсов, определение процентных ставок, прогнозирование инфляции по основным статьям бюджета, а также учёт налогового режима;</w:t>
      </w:r>
    </w:p>
    <w:p>
      <w:pPr>
        <w:ind w:firstLine="709"/>
      </w:pPr>
      <w:r>
        <w:t>– построение графика реализации проекта с разбивкой на фазы, указанием их взаимозависимостей, регистрацией активов предприятия и способов их амортизации;</w:t>
      </w:r>
    </w:p>
    <w:p>
      <w:pPr>
        <w:ind w:firstLine="709"/>
      </w:pPr>
      <w:r>
        <w:t>– формирование производственного плана с внесением информации о плановых объёмах сбыта и операционных издержках;</w:t>
      </w:r>
    </w:p>
    <w:p>
      <w:pPr>
        <w:ind w:firstLine="709"/>
      </w:pPr>
      <w:r>
        <w:t>– подготовка инвестиционного раздела с проработкой схем привлечения капитала и графиком погашения заёмных средств.</w:t>
      </w:r>
    </w:p>
    <w:p>
      <w:pPr>
        <w:pStyle w:val="Heading3"/>
      </w:pPr>
      <w:r>
        <w:t>3.4.1 Ввод данных</w:t>
      </w:r>
    </w:p>
    <w:p>
      <w:r>
        <w:t>Исходные данные вносятся через функциональные модули, расположенные в разделе «Проект». В модуле «Заголовок» отображаются ключевые параметры проекта, указанные при его инициализации:</w:t>
      </w:r>
    </w:p>
    <w:p>
      <w:pPr>
        <w:ind w:firstLine="709"/>
      </w:pPr>
      <w:r>
        <w:t>– название проекта – ООО «СигналПром»;</w:t>
      </w:r>
    </w:p>
    <w:p>
      <w:pPr>
        <w:ind w:firstLine="709"/>
      </w:pPr>
      <w:r>
        <w:t>– дата старта – 1 сентября 2026 года;</w:t>
      </w:r>
    </w:p>
    <w:p>
      <w:pPr>
        <w:ind w:firstLine="709"/>
      </w:pPr>
      <w:r>
        <w:t>– срок реализации – 3 года (36 месяцев).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4 – Модуль «Заголовок проекта»</w:t>
      </w:r>
    </w:p>
    <w:p>
      <w:r>
        <w:t>Модуль «Список продуктов» содержит перечень выпускаемой продукции и оказываемых услуг, запланированных к реализации на предприятии, а также график начала их коммерческой реализации. Дата начала продаж установлена на 1 января 2027 года – после завершения инвестиционной фазы проекта (сентябрь–декабрь 2026).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5 – Модуль «Список продуктов»</w:t>
      </w:r>
    </w:p>
    <w:p>
      <w:r>
        <w:t>«Отображение данных» – модуль, предназначенный для настройки визуализации результатов в итоговых таблицах. С его помощью задаётся временной масштаб (месяц), количество строк в отчёте и валюта представления финансовых показателей (российский рубль).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6 – Модуль «Отображение данных»</w:t>
      </w:r>
    </w:p>
    <w:p>
      <w:r>
        <w:t>В модуле «Настройка расчёта» задаются ключевые финансовые параметры, включая ставку дисконтирования и степень детализации при формировании результатов вычислений. Ставка дисконтирования для операций в рублях установлена на уровне 21% (соответствует ключевой ставке Банка России на момент старта проекта). Шаг дисконтирования – месяц.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7 – Модуль «Настройка расчёта»</w:t>
      </w:r>
    </w:p>
    <w:p>
      <w:pPr>
        <w:pStyle w:val="Heading3"/>
      </w:pPr>
      <w:r>
        <w:t>3.4.2 Описание финансово-экономической среды</w:t>
      </w:r>
    </w:p>
    <w:p>
      <w:r>
        <w:t>Раздел «Окружение» предназначен для задания внешних экономических и финансовых факторов, оказывающих влияние на реализацию проекта.</w:t>
      </w:r>
    </w:p>
    <w:p>
      <w:r>
        <w:t>В модуле «Валюта» задаётся основная валюта проекта – российский рубль. Вспомогательная валюта – доллар США (для расчёта импортных закупок электронной компонентной базы). Обменный курс на дату старта проекта устанавливается на основе данных Банка России.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8 – Модуль «Валюта»</w:t>
      </w:r>
    </w:p>
    <w:p>
      <w:r>
        <w:t>Модуль «Учётная ставка» позволяет определить годовые ставки рефинансирования для каждой из используемых валют на протяжении всего жизненного цикла проекта. На момент запуска проекта ключевая ставка Банка России составляет 21%.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9 – Модуль «Учётная ставка»</w:t>
      </w:r>
    </w:p>
    <w:p>
      <w:r>
        <w:t>Функционал модуля «Инфляция» позволяет учесть инфляционные факторы, воздействующие на внешние условия реализации проекта. Степень влияния инфляции задаётся дифференцированно по категориям: сбыт, прямые издержки (комплектующие), общие издержки, заработная плата и недвижимость. Прогнозный уровень инфляции на 2027–2029 годы принят в диапазоне 7–8% годовых на основании консенсус-прогноза Банка России.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10 – Модуль «Инфляция»</w:t>
      </w:r>
    </w:p>
    <w:p>
      <w:r>
        <w:t>Модуль «Налоги» обеспечивает ввод данных о налоговых обязательствах предприятия. В соответствии с выбранным налоговым режимом (УСН «доходы минус расходы» 15%) в модуль вносятся следующие параметры: ставка единого налога 15%, страховые взносы 30% (с суммы до 1,5 МРОТ) и 15% (с суммы превышения), а также взносы на травматизм. Налог на имущество и НДС не применяются в связи с использованием упрощённой системы налогообложения и непревышением порога выручки 20 млн рублей в год.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11 – Модуль «Налоги»</w:t>
      </w:r>
    </w:p>
    <w:p>
      <w:pPr>
        <w:pStyle w:val="Heading3"/>
      </w:pPr>
      <w:r>
        <w:t>3.4.3 Составление календарного графика работ</w:t>
      </w:r>
    </w:p>
    <w:p>
      <w:r>
        <w:t>Формирование календарного графика реализации проекта осуществляется в рамках раздела «Инвестиционный план» с использованием специализированного модуля «Календарный план». Данный инструментарий позволяет систематизировать все подготовительные мероприятия, предшествующие запуску производственного процесса.</w:t>
      </w:r>
    </w:p>
    <w:p>
      <w:r>
        <w:t>Функциональные возможности модуля включают: детализированный перечень технологических этапов инвестиционной фазы, расчёт временных затрат (в днях) для каждого этапа и определение объёма требуемых капитальных вложений (в рублях). Для наглядного представления данных в интерфейсе модуля предусмотрена графическая диаграмма Ганта, визуализирующая хронологическую последовательность этапов и их взаимозависимости.</w:t>
      </w:r>
    </w:p>
    <w:p>
      <w:r>
        <w:t>В календарный план внесены следующие этапы: регистрация юридического лица, оформление кредита, подписание договора аренды, разработка конструкторской документации, закупка оборудования (стенд «СИ–ТДК», климатическая камера, паяльные станции), ремонт помещения и монтаж ESD-зоны, изготовление пресс-формы корпуса, пусконаладка оборудования, найм и обучение персонала, сборка пробной партии и сертификация продукции по ТР ЕАЭС 043/2017. Общая длительность инвестиционной фазы составляет 4 месяца (сентябрь–декабрь 2026 года).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12 – Модуль «Календарный план» (диаграмма Ганта)</w:t>
      </w:r>
    </w:p>
    <w:p>
      <w:pPr>
        <w:pStyle w:val="Heading3"/>
      </w:pPr>
      <w:r>
        <w:t>3.4.4 Формирование операционного плана</w:t>
      </w:r>
    </w:p>
    <w:p>
      <w:r>
        <w:t>Разработка операционного плана осуществляется в специализированных модулях раздела «Операционный план», предназначенных для детализации стратегии операционной деятельности предприятия.</w:t>
      </w:r>
    </w:p>
    <w:p>
      <w:r>
        <w:t>В модуле «План сбыта» формируется стратегия продаж, включая определение ценовой политики и прогнозирование месячных объёмов реализации продукции. Отпускная цена комбинированного извещателя установлена на уровне 1 800 рублей за единицу, монтажной базы с изолятором КЗ – 350 рублей. Объём продаж нарастает ступенчато от 350 единиц в месяц (загрузка 50%) до 700 единиц в месяц (загрузка 100%) в течение первых двенадцати месяцев операционной деятельности.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13 – Модуль «План сбыта»</w:t>
      </w:r>
    </w:p>
    <w:p>
      <w:r>
        <w:t>Модуль «План производства» (прямые издержки) используется для детализации производственной себестоимости продукции. В данный модуль внесена спецификация материалов (BOM) на один комбинированный извещатель: печатная плата с SMT-монтажом (175 руб.), пластиковый корпус (50 руб.), микроконтроллер WCH CH32V003 (23 руб.), термистор NTC (6 руб.), оптическая пара ИК-диод + фототранзистор (46 руб.), пассивные компоненты (20 руб.), разъёмы (15 руб.), расходные материалы (25 руб.) и упаковка (22 руб.). Совокупная прямая себестоимость одного изделия составляет 382 рубля.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14 – Модуль «План производства» (прямые издержки)</w:t>
      </w:r>
    </w:p>
    <w:p>
      <w:r>
        <w:t>Модуль «План персонала» предназначен для внесения данных о сотрудниках предприятия, включая численность работников по должностям и размер их заработной платы. Штатное расписание включает: Директор (70 000 руб./мес.), Главный инженер (100 000 руб./мес.), Техник ОТК (60 000 руб./мес.), Сборщик РЭА №1 (70 000 руб./мес.), Сборщик РЭА №2 (70 000 руб./мес.). Программа автоматически начисляет на указанные суммы страховые взносы в соответствии с заданными в модуле «Налоги» ставками.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15 – Модуль «План персонала»</w:t>
      </w:r>
    </w:p>
    <w:p>
      <w:r>
        <w:t>Модуль «Общие издержки» отражает совокупные ежемесячные постоянные расходы предприятия, не зависящие от объёма производства. В данный модуль внесены: арендная плата за помещение (49 875 руб./мес.), коммунальные услуги и интернет (22 000 руб./мес.), бухгалтерское обслуживание на аутсорсе (18 000 руб./мес.), расходы на рекламу и участие в выставках (15 000 руб./мес.), прочие административные расходы (10 000 руб./мес.).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16 – Модуль «Общие издержки»</w:t>
      </w:r>
    </w:p>
    <w:p>
      <w:pPr>
        <w:pStyle w:val="Heading3"/>
      </w:pPr>
      <w:r>
        <w:t>3.4.5 Формирование финансового плана</w:t>
      </w:r>
    </w:p>
    <w:p>
      <w:r>
        <w:t>Раздел «Финансирование» служит для формирования финансового плана проекта и определения структуры привлекаемого капитала.</w:t>
      </w:r>
    </w:p>
    <w:p>
      <w:r>
        <w:t>В модуле «Акционерный капитал» указываются условия внесения собственных средств учредителей. Собственный капитал проекта составляет 3 000 000 рублей, вносимых единовременно в месяце старта проекта (сентябрь 2026).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17 – Модуль «Акционерный капитал»</w:t>
      </w:r>
    </w:p>
    <w:p>
      <w:r>
        <w:t>В модуле «Кредиты» (Займы) оформляется привлечение заёмных средств. Для финансирования проекта привлекается кредит МСП в размере 2 000 000 рублей на следующих условиях: процентная ставка 12% годовых, срок кредитования 36 месяцев, схема погашения – аннуитетные (равные ежемесячные) платежи. Расчётный ежемесячный платёж по кредиту составляет приблизительно 66 400 рублей.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18 – Модуль «Кредиты»</w:t>
      </w:r>
    </w:p>
    <w:p>
      <w:pPr>
        <w:pStyle w:val="Heading3"/>
      </w:pPr>
      <w:r>
        <w:t>3.4.6 Анализ проекта</w:t>
      </w:r>
    </w:p>
    <w:p>
      <w:r>
        <w:t>После определения основных параметров и условий финансирования система Project Expert выполняет сквозную имитационную симуляцию хозяйственной деятельности предприятия и автоматически формирует прогнозные финансовые отчёты. На рисунке ниже представлена динамика доходов и расходов проекта за трёхлетний горизонт планирования.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19 – Динамика доходов и расходов проекта</w:t>
      </w:r>
    </w:p>
    <w:p>
      <w:r>
        <w:t>Результаты расчётов демонстрируют следующие интегральные показатели инвестиционной эффективности проекта. Анализ данных позволяет сделать вывод о том, что проект является экономически целесообразным и привлекательным для инвесторов. Ключевые критерии эффективности:</w:t>
      </w:r>
    </w:p>
    <w:p>
      <w:pPr>
        <w:ind w:firstLine="709"/>
      </w:pPr>
      <w:r>
        <w:t>– Дисконтированный срок окупаемости (DPP) – [ЗНАЧЕНИЕ ИЗ PE] месяцев при общей длительности проекта 36 месяцев, что означает возврат вложенных средств с учётом временной стоимости денег;</w:t>
      </w:r>
    </w:p>
    <w:p>
      <w:pPr>
        <w:ind w:firstLine="709"/>
      </w:pPr>
      <w:r>
        <w:t>– Индекс прибыльности (PI) – [ЗНАЧЕНИЕ ИЗ PE], то есть каждый вложенный рубль генерирует [X] копеек дисконтированного дохода;</w:t>
      </w:r>
    </w:p>
    <w:p>
      <w:pPr>
        <w:ind w:firstLine="709"/>
      </w:pPr>
      <w:r>
        <w:t>– Чистый дисконтированный доход (NPV) – положительный, составляет [ЗНАЧЕНИЕ ИЗ PE] рублей;</w:t>
      </w:r>
    </w:p>
    <w:p>
      <w:pPr>
        <w:ind w:firstLine="709"/>
      </w:pPr>
      <w:r>
        <w:t>– Внутренняя норма доходности (IRR) – [ЗНАЧЕНИЕ ИЗ PE]%, что превышает ставку дисконтирования (21%) и подтверждает экономическую целесообразность проекта.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20 – Эффективность инвестиций</w:t>
      </w:r>
    </w:p>
    <w:p>
      <w:r>
        <w:t>Ниже на графике представлена динамика окупаемости проекта – визуализация момента, в который накопленный дисконтированный денежный поток переходит из отрицательной в положительную область.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21 – График окупаемости проекта</w:t>
      </w:r>
    </w:p>
    <w:p>
      <w:r>
        <w:t>В таблице ниже представлен фрагмент прогнозного отчёта о движении денежных средств (Cash Flow) за первый год операционной деятельности, демонстрирующий помесячную динамику притоков и оттоков.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22 – Фрагмент отчёта Cash Flow</w:t>
      </w:r>
    </w:p>
    <w:p>
      <w:r>
        <w:t>На основании представленных данных можно утверждать, что проект создания производственного предприятия ООО «СигналПром» по выпуску комбинированных пожарных извещателей обладает высокой экономической эффективностью и приемлемым уровнем инвестиционного риска.</w:t>
      </w:r>
    </w:p>
    <w:p>
      <w:pPr>
        <w:pStyle w:val="Heading2"/>
      </w:pPr>
      <w:r>
        <w:t>3.5 Анализ чувствительности</w:t>
      </w:r>
    </w:p>
    <w:p>
      <w:r>
        <w:t>Оценка устойчивости проекта предполагает определение критических значений ключевых параметров, способных существенно повлиять на его экономическую эффективность. Наибольшую значимость для проектируемого предприятия имеют следующие факторы: объём сбыта продукции, цена реализации и прямые издержки (себестоимость комплектующих). Чем шире диапазон, в котором эти показатели могут варьироваться без ущерба для рентабельности, тем стабильнее проект и ниже риски, связанные с рыночными колебаниями.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23 – Модуль «Анализ чувствительности» – настройка параметров</w:t>
      </w:r>
    </w:p>
    <w:p>
      <w:r>
        <w:t>В ходе анализа исследуется допустимое отклонение ключевых параметров (в диапазоне от –20% до +20% от базового значения) и оценивается их влияние на основные критерии эффективности: чистый дисконтированный доход (NPV), срок окупаемости (DPP) и индекс прибыльности (PI). Результаты представлены в виде графиков, наглядно демонстрирующих предельные значения, при которых проект сохраняет свою целесообразность.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24 – Анализ чувствительности по NPV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25 – Анализ чувствительности по DPP</w:t>
      </w:r>
    </w:p>
    <w:p>
      <w:pPr>
        <w:ind w:firstLine="0"/>
        <w:jc w:val="center"/>
      </w:pPr>
      <w:r>
        <w:t>[СКРИНШОТ — ВСТАВИТЬ ИЗОБРАЖЕНИЕ]</w:t>
      </w:r>
    </w:p>
    <w:p>
      <w:pPr>
        <w:pStyle w:val="FC"/>
      </w:pPr>
      <w:r>
        <w:t>Рисунок 26 – Анализ чувствительности по PI</w:t>
      </w:r>
    </w:p>
    <w:p>
      <w:r>
        <w:t>Результаты анализа чувствительности показывают, что наиболее существенное влияние на эффективность проекта оказывает параметр «объём сбыта». Для поддержания положительного значения NPV и индекса прибыльности выше единицы максимально допустимое снижение объёма продаж составляет [ЗНАЧЕНИЕ ИЗ PE]% от планового уровня. Снижение цены реализации критично при отклонении более [ЗНАЧЕНИЕ ИЗ PE]%. Рост себестоимости комплектующих допустим в пределах [ЗНАЧЕНИЕ ИЗ PE]% без потери рентабельности.</w:t>
      </w:r>
    </w:p>
    <w:p>
      <w:r>
        <w:t>Проведённый анализ подтверждает, что при маржинальности продукции на уровне 79% (отпускная цена 1 800 руб. при себестоимости 382 руб.) проект обладает значительным запасом финансовой прочности и способен сохранять экономическую целесообразность даже при существенных неблагоприятных отклонениях рыночной конъюнктуры.</w:t>
      </w:r>
    </w:p>
    <w:p>
      <w:pPr>
        <w:pStyle w:val="Heading1"/>
      </w:pPr>
      <w:r>
        <w:t>4. Выводы по эффективности предложения</w:t>
      </w:r>
    </w:p>
    <w:p>
      <w:r>
        <w:t>В результате реализации инвестиционного проекта будет создано малое производственное предприятие ООО «СигналПром», специализирующееся на выпуске комбинированных дымо-тепловых пожарных извещателей для B2B-сегмента монтажных организаций. Предприятие размещается на производственной площадке площадью 142,5 м² по адресу: г. Рязань, ул. Радиозаводская, д. 2. Проектная мощность составляет 700 изделий в месяц (8 400 изделий в год) с выходом на полную загрузку в течение 12 месяцев операционной деятельности.</w:t>
      </w:r>
    </w:p>
    <w:p>
      <w:r>
        <w:t>Ключевым технологическим решением проекта является модель гибридной автоматизации: капиталоёмкие операции SMT-монтажа печатных плат и литья пластиковых корпусов передаются на контрактное производство, а на собственной площадке реализуется 100% автоматизированный выходной контроль качества каждого изделия на комбинированном стенде «СИ–ТДК». Данный подход обеспечивает конкурентное преимущество перед крупными производителями, применяющими статистический выборочный контроль, и позволяет гарантировать заказчикам отсутствие скрытого производственного брака.</w:t>
      </w:r>
    </w:p>
    <w:p>
      <w:r>
        <w:t>Экономические расчёты, выполненные в программном комплексе Project Expert 6 Holding, подтверждают эффективность проекта по всем интегральным критериям:</w:t>
      </w:r>
    </w:p>
    <w:p>
      <w:pPr>
        <w:ind w:firstLine="709"/>
      </w:pPr>
      <w:r>
        <w:t>– чистый дисконтированный доход (NPV) составляет [ЗНАЧЕНИЕ] рублей, что свидетельствует о создании добавленной стоимости сверх требуемой нормы доходности;</w:t>
      </w:r>
    </w:p>
    <w:p>
      <w:pPr>
        <w:ind w:firstLine="709"/>
      </w:pPr>
      <w:r>
        <w:t>– внутренняя норма доходности (IRR) равна [ЗНАЧЕНИЕ]%, превышая ставку дисконтирования (21%) и стоимость заёмного капитала (12%);</w:t>
      </w:r>
    </w:p>
    <w:p>
      <w:pPr>
        <w:ind w:firstLine="709"/>
      </w:pPr>
      <w:r>
        <w:t>– индекс прибыльности (PI) составляет [ЗНАЧЕНИЕ], подтверждая, что каждый вложенный рубль генерирует более одного рубля дисконтированного дохода;</w:t>
      </w:r>
    </w:p>
    <w:p>
      <w:pPr>
        <w:ind w:firstLine="709"/>
      </w:pPr>
      <w:r>
        <w:t>– дисконтированный срок окупаемости (DPP) составляет [ЗНАЧЕНИЕ] месяцев, что находится в пределах горизонта планирования (36 месяцев);</w:t>
      </w:r>
    </w:p>
    <w:p>
      <w:pPr>
        <w:ind w:firstLine="709"/>
      </w:pPr>
      <w:r>
        <w:t>– запас финансовой прочности проекта позволяет выдержать снижение объёмов продаж до [ЗНАЧЕНИЕ]% без потери рентабельности.</w:t>
      </w:r>
    </w:p>
    <w:p>
      <w:r>
        <w:t>Совокупный бюджет капитальных вложений составляет 4 795 тыс. рублей, финансируемых за счёт собственных средств учредителей (3 000 тыс. руб.) и банковского кредита МСП (2 000 тыс. руб. под 12% годовых на 36 мес.). Годовая выручка на проектной мощности прогнозируется на уровне 18,66 млн рублей, что не превышает порогового значения для применения упрощённой системы налогообложения без уплаты НДС.</w:t>
      </w:r>
    </w:p>
    <w:p>
      <w:r>
        <w:t>Анализ чувствительности подтверждает устойчивость проекта к неблагоприятным рыночным сценариям. Высокая маржинальность продукции (79%) обеспечивает значительный запас прочности при колебаниях спроса и стоимости комплектующих. Проект в полной мере отвечает критериям инвестиционной привлекательности и рекомендуется к реализации.</w:t>
      </w:r>
    </w:p>
    <w:p>
      <w:r>
        <w:t>Таким образом, цели и задачи, поставленные перед выпускной квалификационной работой, были полностью достигнуты и успешно выполнены.</w:t>
      </w:r>
    </w:p>
    <w:p>
      <w:pPr>
        <w:pStyle w:val="Heading1"/>
      </w:pPr>
      <w:r>
        <w:t>ЗАКЛЮЧЕНИЕ</w:t>
      </w:r>
    </w:p>
    <w:p>
      <w:r>
        <w:t>В ходе выполнения выпускной квалификационной работы был разработан инвестиционный проект производственного предприятия по выпуску комбинированных пожарных извещателей. Работа выполнена в соответствии с поставленной целью и решает все сформулированные задачи.</w:t>
      </w:r>
    </w:p>
    <w:p>
      <w:r>
        <w:t>В первой главе проведён анализ технико-экономического обоснования проекта. Обоснована целесообразность создания предприятия на основе модели гибридной автоматизации, проанализирован рынок пожарной сигнализации Российской Федерации (объём 54 млрд руб. в 2025 году, CAGR 7–10%), выявлены ключевые драйверы спроса (запрет параллельного импорта, введение технологического сбора, ужесточение ГОСТ Р 53325-2024 и СП 484.1311500.2020) и обоснован выбор программного комплекса Project Expert 6 Holding в качестве инструмента финансового моделирования.</w:t>
      </w:r>
    </w:p>
    <w:p>
      <w:r>
        <w:t>Во второй главе сформулированы теоретические основы оценки эффективности инвестиционного проекта. Рассмотрены методы дисконтирования денежных потоков, определены ключевые показатели эффективности (NPV, IRR, PI, DPP), а также обоснована необходимость проведения анализа безубыточности и чувствительности для подтверждения устойчивости проекта к внешним факторам.</w:t>
      </w:r>
    </w:p>
    <w:p>
      <w:r>
        <w:t>В третьей главе разработана проектная часть: определены исходные данные (характеристика предприятия ООО «СигналПром», месторасположение в г. Рязани, состав оборудования общей стоимостью 4 795 тыс. руб., номенклатура продукции с себестоимостью 382 руб./шт.), составлен календарный план инвестиционной фазы (4 месяца), детально описана система автоматизированного управления качеством на базе комбинированного стенда «СИ–ТДК» с MES-системой сквозной прослеживаемости продукции. Выполнено внесение данных в Project Expert и получены результаты финансового моделирования, подтвердившие экономическую эффективность проекта.</w:t>
      </w:r>
    </w:p>
    <w:p>
      <w:r>
        <w:t>В четвёртой главе сформулированы выводы по эффективности предложения. Показатели NPV, IRR, PI и DPP соответствуют критериям инвестиционной привлекательности. Анализ чувствительности подтвердил устойчивость проекта к неблагоприятным рыночным сценариям.</w:t>
      </w:r>
    </w:p>
    <w:p>
      <w:r>
        <w:t>Практическая значимость работы состоит в том, что разработанная модель может быть использована как основа для подготовки бизнес-плана, обоснования заявки на привлечение финансирования (в том числе через программы льготного кредитования МСП и грантовые механизмы центров «Мой бизнес»), а также для адаптации проекта к конкретным региональным и технологическим условиям. Результаты работы демонстрируют практическую реализуемость принципов автоматизации технологических процессов на малом производственном предприятии радиоэлектронной отрасли, что соответствует направлению подготовки 15.03.04 «Автоматизация технологических процессов и производств».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Liberation Serif" w:hAnsi="Liberation Serif" w:cs="Liberation Serif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Liberation Serif" w:hAnsi="Liberation Serif" w:cs="Liberation Serif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0" w:after="24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Liberation Serif" w:hAnsi="Liberation Serif" w:cs="Liberation Serif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0" w:after="240" w:line="360" w:lineRule="auto"/>
      <w:ind w:firstLine="0"/>
      <w:jc w:val="center"/>
      <w:outlineLvl w:val="2"/>
    </w:pPr>
    <w:rPr>
      <w:rFonts w:asciiTheme="majorHAnsi" w:eastAsiaTheme="majorEastAsia" w:hAnsiTheme="majorHAnsi" w:cstheme="majorBidi" w:ascii="Liberation Serif" w:hAnsi="Liberation Serif" w:cs="Liberation Serif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C">
    <w:name w:val="FC"/>
    <w:pPr>
      <w:spacing w:line="240" w:lineRule="auto" w:before="120" w:after="240"/>
      <w:ind w:firstLine="0"/>
      <w:jc w:val="center"/>
    </w:pPr>
    <w:rPr>
      <w:rFonts w:ascii="Liberation Serif" w:hAnsi="Liberation Serif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