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Технико-экономическое обоснование проекта</w:t>
      </w:r>
    </w:p>
    <w:p>
      <w:r>
        <w:t>Разработка данного инвестиционного 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построения финансовой модели проекта. Начало данного проекта определено на 1 сентября 2026 года с горизонтом планирования в 3 года. Выход на операционную деятельность (запуск производства) запланирован на 1 января 2027 года после завершения инвестиционной фазы, включающей подготовку помещения, закупку и пусконаладку технологического оборудования, а также прохождение обязательной сертификации по ТР ЕАЭС 043/2017.</w:t>
      </w:r>
    </w:p>
    <w:p>
      <w:pPr>
        <w:pStyle w:val="Heading2"/>
      </w:pPr>
      <w:r>
        <w:t>1.1 Обоснование целей открытия предприятия</w:t>
      </w:r>
    </w:p>
    <w:p>
      <w:r>
        <w:t>Целью инвестиционного проекта является создание малого производственного предприятия ООО «СигналПром», ориентированного на выпуск комбинированных дымо-тепловых пожарных извещателей для сегмента монтажных организаций (B2B-рынок). Идея открытия предприятия обусловлена фундаментальной трансформацией рынка средств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r>
        <w:t>Ключевым драйвером структурных изменений рынка выступил Приказ Минпромторга России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ТН ВЭД 8531 из перечня разрешённых для ввоза без согласия правообладателей. Инициатором ограничений выступила Автономная некоммерческая организация «Консорциум ПОПСБ», объединяющая ведущих российских производителей охранно-пожарных систем. Следствием данной меры стало формирование практически суверенного рынка: к маю 2026 года доля отечественных производителей в государственном и крупном корпоративном секторах приблизилась к абсолютным значениям, а оборудование покинувших рынок транснациональных корпораций (Bosch, Honeywell, Schneider Electric, Autronica) лишилось официальной сервисной поддержки и легитимного гарантийного ремонта.</w:t>
      </w:r>
    </w:p>
    <w:p>
      <w:r>
        <w:t>Дополнительным фактором, открывающим окно возможностей для малых контрактных производств, стало введение с 1 сентября 2026 года технологического сбора на импортируемую готовую электронную технику. Сбор имеет фиксированный регрессивный характер: максимальная ставка составляет 5 000 рублей за товарную единицу вне зависимости от её таможенной стоимости. Для изделий среднего ценового сегмента (к которым относятся комбинированные пожарные извещатели с рыночной ценой 1 200–1 600 рублей) сбор увеличивает закупочную стоимость импорта на 60–150%, что делает ввоз готовых устройств экономически нецелесообразным. При этом технологический сбор не распространяется на импорт рассыпной электронной компонентной базы (микроконтроллеры, фотодиоды, термисторы), что формирует прямые преференции для локальных сборочных производств.</w:t>
      </w:r>
    </w:p>
    <w:p>
      <w:r>
        <w:t>Параллельно с введением заградительных барьеров государство реализует программы прямой финансовой поддержки радиоэлектронной промышленности. В рамках федерального проекта «Развитие инфраструктуры и производства электронной продукции» на трёхлетний период заложено финансирование в размере 13,5 миллиардов рублей, из которых 9,7 миллиардов рублей выделяется в 2026 году. Доступны инструменты льготного лизинга технологического оборудования, гарантийной поддержки Корпорации МСП, субсидирования процентных ставок и грантовых программ центров «Мой бизнес». Совокупность указанных мер позволяет малому предприятию существенно снизить стартовую финансовую нагрузку при организации производства.</w:t>
      </w:r>
    </w:p>
    <w:p>
      <w:r>
        <w:t>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более чем в три раза — с 3 В/м до 10 В/м, что фактически вытеснило с рынка низкотехнологичные моносенсорные устройства. Изменение №1 к СП 484.1311500.2020, вступившее в силу 1 сентября 2025 года,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p>
    <w:p>
      <w:r>
        <w:t>В указанных условиях перед новым игроком встаёт ключевой стратегический вопрос — выбор производственной модели.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(SMT), термопластавтоматы для литья пластиковых корпусов и автоматизированные конвейерные системы сборки. Повторение такой производственной модели для нового участника рынка нерентабельно: окупаемость SMT-линии производительностью 20 000 изделий в месяц требует стартовых вложений от 120 миллионов рублей и является заведомо недоступной для субъектов малого предпринимательства.</w:t>
      </w:r>
    </w:p>
    <w:p>
      <w:r>
        <w:t>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производственного процесса на два принципиально различных блока. Капиталоёмкие и требующие специализированного оборудования операции (поверхностный SMT-монтаж печатных плат, литьё пластиковых корпусов из ABS-пластика) передаются на контрактное производство крупным отечественным подрядчикам — в частности, компании «Резонит»,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100% автоматизированное метрологическое тестирование каждого изделия — выполняются на собственной производственной площадке предприятия.</w:t>
      </w:r>
    </w:p>
    <w:p>
      <w:r>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p>
    <w:p>
      <w:r>
        <w:t>Таким образом, основными задачами предприятия в период реализации инвестиционного проекта являются:</w:t>
      </w:r>
    </w:p>
    <w:p>
      <w:pPr>
        <w:ind w:firstLine="709"/>
      </w:pPr>
      <w:r>
        <w:t>– анализ рыночной конъюнктуры и обоснование ниши малосерийного производства в сегменте B2B;</w:t>
      </w:r>
    </w:p>
    <w:p>
      <w:pPr>
        <w:ind w:firstLine="709"/>
      </w:pPr>
      <w:r>
        <w:t>– разработка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pPr>
        <w:ind w:firstLine="709"/>
      </w:pPr>
      <w:r>
        <w:t>– приобретение и пусконаладка технологического оборудования, включая аэродинамический стенд дымового канала и климатическую камеру тестирования теплового канала;</w:t>
      </w:r>
    </w:p>
    <w:p>
      <w:pPr>
        <w:ind w:firstLine="709"/>
      </w:pPr>
      <w:r>
        <w:t>– внедрение MES-системы для обеспечения сквозной прослеживаемости каждого изделия и автоматической блокировки выпуска брака;</w:t>
      </w:r>
    </w:p>
    <w:p>
      <w:pPr>
        <w:ind w:firstLine="709"/>
      </w:pPr>
      <w:r>
        <w:t>– прохождение обязательной сертификации продукции по ТР ЕАЭС 043/2017 «О требованиях к средствам обеспечения пожарной безопасности и пожаротушения»;</w:t>
      </w:r>
    </w:p>
    <w:p>
      <w:pPr>
        <w:ind w:firstLine="709"/>
      </w:pPr>
      <w:r>
        <w:t>– формирование каналов сбыта в B2B-сегменте через монтажные организации и поставщиков оборудования систем безопасности.</w:t>
      </w:r>
    </w:p>
    <w:p>
      <w:r>
        <w:t>Преимуществами реализации данного инвестиционного проекта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запылённостью, серверных помещений, объектов общественного питания); создание новых рабочих мест и рост налоговых поступлений в бюджет Рязанской области.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Liberation Serif" w:hAnsi="Liberation Serif" w:cs="Liberation Serif"/>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0"/>
      <w:jc w:val="center"/>
      <w:outlineLvl w:val="0"/>
    </w:pPr>
    <w:rPr>
      <w:rFonts w:asciiTheme="majorHAnsi" w:eastAsiaTheme="majorEastAsia" w:hAnsiTheme="majorHAnsi" w:cstheme="majorBidi" w:ascii="Liberation Serif" w:hAnsi="Liberation Serif" w:cs="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240" w:line="360" w:lineRule="auto"/>
      <w:ind w:firstLine="0"/>
      <w:jc w:val="center"/>
      <w:outlineLvl w:val="1"/>
    </w:pPr>
    <w:rPr>
      <w:rFonts w:asciiTheme="majorHAnsi" w:eastAsiaTheme="majorEastAsia" w:hAnsiTheme="majorHAnsi" w:cstheme="majorBidi" w:ascii="Liberation Serif" w:hAnsi="Liberation Serif" w:cs="Liberation Serif"/>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