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1.2 Анализ рынка</w:t>
      </w:r>
    </w:p>
    <w:p>
      <w: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r>
        <w:t>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CAGR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pPr>
        <w:pStyle w:val="TableCaption"/>
      </w:pPr>
      <w:r>
        <w:t>Таблица 1 – Динамика объёма российского рынка пожарной автоматики в 2023–2026 годах</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0" w:after="0"/>
              <w:ind w:firstLine="0"/>
              <w:jc w:val="center"/>
            </w:pPr>
            <w:r>
              <w:rPr>
                <w:rFonts w:ascii="Liberation Serif" w:hAnsi="Liberation Serif"/>
                <w:sz w:val="24"/>
              </w:rPr>
              <w:t>Год</w:t>
            </w:r>
          </w:p>
        </w:tc>
        <w:tc>
          <w:tcPr>
            <w:tcW w:type="dxa" w:w="3230"/>
          </w:tcPr>
          <w:p>
            <w:pPr>
              <w:spacing w:line="240" w:lineRule="auto" w:before="0" w:after="0"/>
              <w:ind w:firstLine="0"/>
              <w:jc w:val="center"/>
            </w:pPr>
            <w:r>
              <w:rPr>
                <w:rFonts w:ascii="Liberation Serif" w:hAnsi="Liberation Serif"/>
                <w:sz w:val="24"/>
              </w:rPr>
              <w:t>Объём рынка, млрд руб.</w:t>
            </w:r>
          </w:p>
        </w:tc>
        <w:tc>
          <w:tcPr>
            <w:tcW w:type="dxa" w:w="3230"/>
          </w:tcPr>
          <w:p>
            <w:pPr>
              <w:spacing w:line="240" w:lineRule="auto" w:before="0" w:after="0"/>
              <w:ind w:firstLine="0"/>
              <w:jc w:val="center"/>
            </w:pPr>
            <w:r>
              <w:rPr>
                <w:rFonts w:ascii="Liberation Serif" w:hAnsi="Liberation Serif"/>
                <w:sz w:val="24"/>
              </w:rPr>
              <w:t>Прирост к предыдущему году, %</w:t>
            </w:r>
          </w:p>
        </w:tc>
      </w:tr>
      <w:tr>
        <w:tc>
          <w:tcPr>
            <w:tcW w:type="dxa" w:w="3230"/>
          </w:tcPr>
          <w:p>
            <w:pPr>
              <w:spacing w:line="240" w:lineRule="auto" w:before="0" w:after="0"/>
              <w:ind w:firstLine="0"/>
              <w:jc w:val="center"/>
            </w:pPr>
            <w:r>
              <w:rPr>
                <w:rFonts w:ascii="Liberation Serif" w:hAnsi="Liberation Serif"/>
                <w:sz w:val="24"/>
              </w:rPr>
              <w:t>2023</w:t>
            </w:r>
          </w:p>
        </w:tc>
        <w:tc>
          <w:tcPr>
            <w:tcW w:type="dxa" w:w="3230"/>
          </w:tcPr>
          <w:p>
            <w:pPr>
              <w:spacing w:line="240" w:lineRule="auto" w:before="0" w:after="0"/>
              <w:ind w:firstLine="0"/>
              <w:jc w:val="center"/>
            </w:pPr>
            <w:r>
              <w:rPr>
                <w:rFonts w:ascii="Liberation Serif" w:hAnsi="Liberation Serif"/>
                <w:sz w:val="24"/>
              </w:rPr>
              <w:t>45,8</w:t>
            </w:r>
          </w:p>
        </w:tc>
        <w:tc>
          <w:tcPr>
            <w:tcW w:type="dxa" w:w="3230"/>
          </w:tcPr>
          <w:p>
            <w:pPr>
              <w:spacing w:line="240" w:lineRule="auto" w:before="0" w:after="0"/>
              <w:ind w:firstLine="0"/>
              <w:jc w:val="center"/>
            </w:pPr>
            <w:r>
              <w:rPr>
                <w:rFonts w:ascii="Liberation Serif" w:hAnsi="Liberation Serif"/>
                <w:sz w:val="24"/>
              </w:rPr>
              <w:t>+6,5</w:t>
            </w:r>
          </w:p>
        </w:tc>
      </w:tr>
      <w:tr>
        <w:tc>
          <w:tcPr>
            <w:tcW w:type="dxa" w:w="3230"/>
          </w:tcPr>
          <w:p>
            <w:pPr>
              <w:spacing w:line="240" w:lineRule="auto" w:before="0" w:after="0"/>
              <w:ind w:firstLine="0"/>
              <w:jc w:val="center"/>
            </w:pPr>
            <w:r>
              <w:rPr>
                <w:rFonts w:ascii="Liberation Serif" w:hAnsi="Liberation Serif"/>
                <w:sz w:val="24"/>
              </w:rPr>
              <w:t>2024</w:t>
            </w:r>
          </w:p>
        </w:tc>
        <w:tc>
          <w:tcPr>
            <w:tcW w:type="dxa" w:w="3230"/>
          </w:tcPr>
          <w:p>
            <w:pPr>
              <w:spacing w:line="240" w:lineRule="auto" w:before="0" w:after="0"/>
              <w:ind w:firstLine="0"/>
              <w:jc w:val="center"/>
            </w:pPr>
            <w:r>
              <w:rPr>
                <w:rFonts w:ascii="Liberation Serif" w:hAnsi="Liberation Serif"/>
                <w:sz w:val="24"/>
              </w:rPr>
              <w:t>49,1</w:t>
            </w:r>
          </w:p>
        </w:tc>
        <w:tc>
          <w:tcPr>
            <w:tcW w:type="dxa" w:w="3230"/>
          </w:tcPr>
          <w:p>
            <w:pPr>
              <w:spacing w:line="240" w:lineRule="auto" w:before="0" w:after="0"/>
              <w:ind w:firstLine="0"/>
              <w:jc w:val="center"/>
            </w:pPr>
            <w:r>
              <w:rPr>
                <w:rFonts w:ascii="Liberation Serif" w:hAnsi="Liberation Serif"/>
                <w:sz w:val="24"/>
              </w:rPr>
              <w:t>+7,2</w:t>
            </w:r>
          </w:p>
        </w:tc>
      </w:tr>
      <w:tr>
        <w:tc>
          <w:tcPr>
            <w:tcW w:type="dxa" w:w="3230"/>
          </w:tcPr>
          <w:p>
            <w:pPr>
              <w:spacing w:line="240" w:lineRule="auto" w:before="0" w:after="0"/>
              <w:ind w:firstLine="0"/>
              <w:jc w:val="center"/>
            </w:pPr>
            <w:r>
              <w:rPr>
                <w:rFonts w:ascii="Liberation Serif" w:hAnsi="Liberation Serif"/>
                <w:sz w:val="24"/>
              </w:rPr>
              <w:t>2025</w:t>
            </w:r>
          </w:p>
        </w:tc>
        <w:tc>
          <w:tcPr>
            <w:tcW w:type="dxa" w:w="3230"/>
          </w:tcPr>
          <w:p>
            <w:pPr>
              <w:spacing w:line="240" w:lineRule="auto" w:before="0" w:after="0"/>
              <w:ind w:firstLine="0"/>
              <w:jc w:val="center"/>
            </w:pPr>
            <w:r>
              <w:rPr>
                <w:rFonts w:ascii="Liberation Serif" w:hAnsi="Liberation Serif"/>
                <w:sz w:val="24"/>
              </w:rPr>
              <w:t>54,0</w:t>
            </w:r>
          </w:p>
        </w:tc>
        <w:tc>
          <w:tcPr>
            <w:tcW w:type="dxa" w:w="3230"/>
          </w:tcPr>
          <w:p>
            <w:pPr>
              <w:spacing w:line="240" w:lineRule="auto" w:before="0" w:after="0"/>
              <w:ind w:firstLine="0"/>
              <w:jc w:val="center"/>
            </w:pPr>
            <w:r>
              <w:rPr>
                <w:rFonts w:ascii="Liberation Serif" w:hAnsi="Liberation Serif"/>
                <w:sz w:val="24"/>
              </w:rPr>
              <w:t>+10,0</w:t>
            </w:r>
          </w:p>
        </w:tc>
      </w:tr>
      <w:tr>
        <w:tc>
          <w:tcPr>
            <w:tcW w:type="dxa" w:w="3230"/>
          </w:tcPr>
          <w:p>
            <w:pPr>
              <w:spacing w:line="240" w:lineRule="auto" w:before="0" w:after="0"/>
              <w:ind w:firstLine="0"/>
              <w:jc w:val="center"/>
            </w:pPr>
            <w:r>
              <w:rPr>
                <w:rFonts w:ascii="Liberation Serif" w:hAnsi="Liberation Serif"/>
                <w:sz w:val="24"/>
              </w:rPr>
              <w:t>2026 (прогноз)</w:t>
            </w:r>
          </w:p>
        </w:tc>
        <w:tc>
          <w:tcPr>
            <w:tcW w:type="dxa" w:w="3230"/>
          </w:tcPr>
          <w:p>
            <w:pPr>
              <w:spacing w:line="240" w:lineRule="auto" w:before="0" w:after="0"/>
              <w:ind w:firstLine="0"/>
              <w:jc w:val="center"/>
            </w:pPr>
            <w:r>
              <w:rPr>
                <w:rFonts w:ascii="Liberation Serif" w:hAnsi="Liberation Serif"/>
                <w:sz w:val="24"/>
              </w:rPr>
              <w:t>58,8</w:t>
            </w:r>
          </w:p>
        </w:tc>
        <w:tc>
          <w:tcPr>
            <w:tcW w:type="dxa" w:w="3230"/>
          </w:tcPr>
          <w:p>
            <w:pPr>
              <w:spacing w:line="240" w:lineRule="auto" w:before="0" w:after="0"/>
              <w:ind w:firstLine="0"/>
              <w:jc w:val="center"/>
            </w:pPr>
            <w:r>
              <w:rPr>
                <w:rFonts w:ascii="Liberation Serif" w:hAnsi="Liberation Serif"/>
                <w:sz w:val="24"/>
              </w:rPr>
              <w:t>+8,9</w:t>
            </w:r>
          </w:p>
        </w:tc>
      </w:tr>
    </w:tbl>
    <w:p>
      <w:r>
        <w:t>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r>
        <w:t>Существенное влияние на структуру рынка оказывают изменения в нормативно-технической базе отрасли, произошедшие в период 2024–2026 годов. Обновлённый национальный стандарт ГОСТ Р 53325-2024 «Технические средства пожарной автоматики», заменивший редакцию 2012 года, установил беспрецедентно высокие планки качества для производителей оборудования. В частности, норматив защиты извещателей от электромагнитных помех увеличен более чем в три раза — с 3 В/м до 10 В/м; для уличных извещателей введён обязательный класс защиты не ниже IP65; минимальный гарантированный срок службы оборудования пожарной автоматики увеличен с 7 до 10 лет. Указанные требования фактически вытеснили с рынка низкотехнологичные моносенсорные устройства и обязали производителей использовать электронные компоненты промышленного класса.</w:t>
      </w:r>
    </w:p>
    <w:p>
      <w:r>
        <w:t>Свод правил СП 484.1311500.2020, регламентирующий нормы проектирования систем пожарной сигнализации, претерпел существенные доработки. Изменение №1 к СП 484, вступившее в силу с 1 сентября 2025 года, фундаментально изменило подход к топологии кабельных трасс и отказоустойчивости. Ключевым требованием стало повышение живучести адресной линии связи при единичной неисправности: допустимое число потерянных извещателей при коротком замыкании или обрыве линии снижено с 32 до 24 для автоматических извещателей и не более 1 для ручных пожарных извещателей. Это техническое требование сделало обязательным повсеместное применение изоляторов короткого замыкания, встраиваемых непосредственно в базу каждого адресного извещателя.</w:t>
      </w:r>
    </w:p>
    <w:p>
      <w:r>
        <w:t>Фундаментальным драйвером спроса на пожарные извещатели выступает строительный сектор, обладающий абсолютной эластичностью по отношению к объёмам ввода зданий и сооружений. В соответствии с требованиями Федерального закона №123-ФЗ «Технический регламент о требованиях пожарной безопасности» любое здание перед вводом в эксплуатацию обязано быть оснащено инженерными системами противопожарной защиты. По итогам 2025 года общий объём ввода жилья в Российской Федерации составил 108,1 миллиона квадратных метров, а за первые четыре месяца 2026 года в стране было введено в эксплуатацию ещё почти 29 миллионов квадратных метров жилой недвижимости. Структура ввода характеризуется стагнацией сегмента многоквартирных домов (44,6 миллиона квадратных метров, -2%) и одновременным бумом индивидуального жилищного строительства (63,5 миллиона квадратных метров, +2%, или 59% совокупного ввода).</w:t>
      </w:r>
    </w:p>
    <w:p>
      <w:r>
        <w:t>Сектор коммерческой и промышленной недвижимости в 2025–2026 годах стал главным потребителем высокотехнологичных систем пожарной автоматики. В 2025 году рынок складской недвижимости в России установил абсолютный исторический рекорд: было введено в эксплуатацию от 7,6 до 7,8 миллиона квадратных метров новых площадей, что в 1,7 раза превысило показатели 2024 года. Специфика современных логистических комплексов классов «А» и «А+» (высота потолков от 12 метров, многоярусные мезонины, высокая концентрация горючей упаковки) делает традиционные точечные пожарные извещатели неэффективными. Данная тенденция формирует биполярный спрос: жилой сектор требует миллионов недорогих автономных устройств, а промышленность и логистика — сверхнадёжных адресных платформ и комбинированных извещателей.</w:t>
      </w:r>
    </w:p>
    <w:p>
      <w:r>
        <w:t>Совокупность ужесточившихся норм ГОСТ Р 53325-2024 и архитектурных требований сводов правил привела к тому, что использование примитивных моносенсорных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мультикритериальные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«B»,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r>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OEM-производители,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SMT-монтаж и собственная финишная сборка), к которой относится и проектируемое предприятие.</w:t>
      </w:r>
    </w:p>
    <w:p>
      <w:pPr>
        <w:pStyle w:val="TableCaption"/>
      </w:pPr>
      <w:r>
        <w:t>Таблица 2 – Сравнительный анализ основных групп производителей комбинированных пожарных извещателей на российском рынке</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Крупные корпорации (Болид, Рубеж)</w:t>
            </w:r>
          </w:p>
        </w:tc>
        <w:tc>
          <w:tcPr>
            <w:tcW w:type="dxa" w:w="2422"/>
          </w:tcPr>
          <w:p>
            <w:pPr>
              <w:spacing w:line="240" w:lineRule="auto" w:before="0" w:after="0"/>
              <w:ind w:firstLine="0"/>
            </w:pPr>
            <w:r>
              <w:rPr>
                <w:rFonts w:ascii="Liberation Serif" w:hAnsi="Liberation Serif"/>
                <w:sz w:val="24"/>
              </w:rPr>
              <w:t>Азиатские OEM</w:t>
            </w:r>
          </w:p>
        </w:tc>
        <w:tc>
          <w:tcPr>
            <w:tcW w:type="dxa" w:w="2422"/>
          </w:tcPr>
          <w:p>
            <w:pPr>
              <w:spacing w:line="240" w:lineRule="auto" w:before="0" w:after="0"/>
              <w:ind w:firstLine="0"/>
            </w:pPr>
            <w:r>
              <w:rPr>
                <w:rFonts w:ascii="Liberation Serif" w:hAnsi="Liberation Serif"/>
                <w:sz w:val="24"/>
              </w:rPr>
              <w:t>ООО «СигналПром»</w:t>
            </w:r>
          </w:p>
        </w:tc>
      </w:tr>
      <w:tr>
        <w:tc>
          <w:tcPr>
            <w:tcW w:type="dxa" w:w="2422"/>
          </w:tcPr>
          <w:p>
            <w:pPr>
              <w:spacing w:line="240" w:lineRule="auto" w:before="0" w:after="0"/>
              <w:ind w:firstLine="0"/>
            </w:pPr>
            <w:r>
              <w:rPr>
                <w:rFonts w:ascii="Liberation Serif" w:hAnsi="Liberation Serif"/>
                <w:sz w:val="24"/>
              </w:rPr>
              <w:t>Целевой сегмент</w:t>
            </w:r>
          </w:p>
        </w:tc>
        <w:tc>
          <w:tcPr>
            <w:tcW w:type="dxa" w:w="2422"/>
          </w:tcPr>
          <w:p>
            <w:pPr>
              <w:spacing w:line="240" w:lineRule="auto" w:before="0" w:after="0"/>
              <w:ind w:firstLine="0"/>
            </w:pPr>
            <w:r>
              <w:rPr>
                <w:rFonts w:ascii="Liberation Serif" w:hAnsi="Liberation Serif"/>
                <w:sz w:val="24"/>
              </w:rPr>
              <w:t>Госзаказ, критическая инфраструктура, мега-проекты</w:t>
            </w:r>
          </w:p>
        </w:tc>
        <w:tc>
          <w:tcPr>
            <w:tcW w:type="dxa" w:w="2422"/>
          </w:tcPr>
          <w:p>
            <w:pPr>
              <w:spacing w:line="240" w:lineRule="auto" w:before="0" w:after="0"/>
              <w:ind w:firstLine="0"/>
            </w:pPr>
            <w:r>
              <w:rPr>
                <w:rFonts w:ascii="Liberation Serif" w:hAnsi="Liberation Serif"/>
                <w:sz w:val="24"/>
              </w:rPr>
              <w:t>Нерегулируемый сектор, серый рынок</w:t>
            </w:r>
          </w:p>
        </w:tc>
        <w:tc>
          <w:tcPr>
            <w:tcW w:type="dxa" w:w="2422"/>
          </w:tcPr>
          <w:p>
            <w:pPr>
              <w:spacing w:line="240" w:lineRule="auto" w:before="0" w:after="0"/>
              <w:ind w:firstLine="0"/>
            </w:pPr>
            <w:r>
              <w:rPr>
                <w:rFonts w:ascii="Liberation Serif" w:hAnsi="Liberation Serif"/>
                <w:sz w:val="24"/>
              </w:rPr>
              <w:t>B2B: монтажные организации, средний бизнес</w:t>
            </w:r>
          </w:p>
        </w:tc>
      </w:tr>
      <w:tr>
        <w:tc>
          <w:tcPr>
            <w:tcW w:type="dxa" w:w="2422"/>
          </w:tcPr>
          <w:p>
            <w:pPr>
              <w:spacing w:line="240" w:lineRule="auto" w:before="0" w:after="0"/>
              <w:ind w:firstLine="0"/>
            </w:pPr>
            <w:r>
              <w:rPr>
                <w:rFonts w:ascii="Liberation Serif" w:hAnsi="Liberation Serif"/>
                <w:sz w:val="24"/>
              </w:rPr>
              <w:t>Технологическая модель</w:t>
            </w:r>
          </w:p>
        </w:tc>
        <w:tc>
          <w:tcPr>
            <w:tcW w:type="dxa" w:w="2422"/>
          </w:tcPr>
          <w:p>
            <w:pPr>
              <w:spacing w:line="240" w:lineRule="auto" w:before="0" w:after="0"/>
              <w:ind w:firstLine="0"/>
            </w:pPr>
            <w:r>
              <w:rPr>
                <w:rFonts w:ascii="Liberation Serif" w:hAnsi="Liberation Serif"/>
                <w:sz w:val="24"/>
              </w:rPr>
              <w:t>Полный цикл, роботизированные SMT-линии</w:t>
            </w:r>
          </w:p>
        </w:tc>
        <w:tc>
          <w:tcPr>
            <w:tcW w:type="dxa" w:w="2422"/>
          </w:tcPr>
          <w:p>
            <w:pPr>
              <w:spacing w:line="240" w:lineRule="auto" w:before="0" w:after="0"/>
              <w:ind w:firstLine="0"/>
            </w:pPr>
            <w:r>
              <w:rPr>
                <w:rFonts w:ascii="Liberation Serif" w:hAnsi="Liberation Serif"/>
                <w:sz w:val="24"/>
              </w:rPr>
              <w:t>Импорт готовых изделий или SKD-сборка</w:t>
            </w:r>
          </w:p>
        </w:tc>
        <w:tc>
          <w:tcPr>
            <w:tcW w:type="dxa" w:w="2422"/>
          </w:tcPr>
          <w:p>
            <w:pPr>
              <w:spacing w:line="240" w:lineRule="auto" w:before="0" w:after="0"/>
              <w:ind w:firstLine="0"/>
            </w:pPr>
            <w:r>
              <w:rPr>
                <w:rFonts w:ascii="Liberation Serif" w:hAnsi="Liberation Serif"/>
                <w:sz w:val="24"/>
              </w:rPr>
              <w:t>Гибридная автоматизация: контрактный SMT + собственная сборка</w:t>
            </w:r>
          </w:p>
        </w:tc>
      </w:tr>
      <w:tr>
        <w:tc>
          <w:tcPr>
            <w:tcW w:type="dxa" w:w="2422"/>
          </w:tcPr>
          <w:p>
            <w:pPr>
              <w:spacing w:line="240" w:lineRule="auto" w:before="0" w:after="0"/>
              <w:ind w:firstLine="0"/>
            </w:pPr>
            <w:r>
              <w:rPr>
                <w:rFonts w:ascii="Liberation Serif" w:hAnsi="Liberation Serif"/>
                <w:sz w:val="24"/>
              </w:rPr>
              <w:t>CAPEX</w:t>
            </w:r>
          </w:p>
        </w:tc>
        <w:tc>
          <w:tcPr>
            <w:tcW w:type="dxa" w:w="2422"/>
          </w:tcPr>
          <w:p>
            <w:pPr>
              <w:spacing w:line="240" w:lineRule="auto" w:before="0" w:after="0"/>
              <w:ind w:firstLine="0"/>
            </w:pPr>
            <w:r>
              <w:rPr>
                <w:rFonts w:ascii="Liberation Serif" w:hAnsi="Liberation Serif"/>
                <w:sz w:val="24"/>
              </w:rPr>
              <w:t>Свыше 120 млн руб.</w:t>
            </w:r>
          </w:p>
        </w:tc>
        <w:tc>
          <w:tcPr>
            <w:tcW w:type="dxa" w:w="2422"/>
          </w:tcPr>
          <w:p>
            <w:pPr>
              <w:spacing w:line="240" w:lineRule="auto" w:before="0" w:after="0"/>
              <w:ind w:firstLine="0"/>
            </w:pPr>
            <w:r>
              <w:rPr>
                <w:rFonts w:ascii="Liberation Serif" w:hAnsi="Liberation Serif"/>
                <w:sz w:val="24"/>
              </w:rPr>
              <w:t>Минимальный (импортная логистика)</w:t>
            </w:r>
          </w:p>
        </w:tc>
        <w:tc>
          <w:tcPr>
            <w:tcW w:type="dxa" w:w="2422"/>
          </w:tcPr>
          <w:p>
            <w:pPr>
              <w:spacing w:line="240" w:lineRule="auto" w:before="0" w:after="0"/>
              <w:ind w:firstLine="0"/>
            </w:pPr>
            <w:r>
              <w:rPr>
                <w:rFonts w:ascii="Liberation Serif" w:hAnsi="Liberation Serif"/>
                <w:sz w:val="24"/>
              </w:rPr>
              <w:t>5–7 млн руб.</w:t>
            </w:r>
          </w:p>
        </w:tc>
      </w:tr>
      <w:tr>
        <w:tc>
          <w:tcPr>
            <w:tcW w:type="dxa" w:w="2422"/>
          </w:tcPr>
          <w:p>
            <w:pPr>
              <w:spacing w:line="240" w:lineRule="auto" w:before="0" w:after="0"/>
              <w:ind w:firstLine="0"/>
            </w:pPr>
            <w:r>
              <w:rPr>
                <w:rFonts w:ascii="Liberation Serif" w:hAnsi="Liberation Serif"/>
                <w:sz w:val="24"/>
              </w:rPr>
              <w:t>Контроль качества</w:t>
            </w:r>
          </w:p>
        </w:tc>
        <w:tc>
          <w:tcPr>
            <w:tcW w:type="dxa" w:w="2422"/>
          </w:tcPr>
          <w:p>
            <w:pPr>
              <w:spacing w:line="240" w:lineRule="auto" w:before="0" w:after="0"/>
              <w:ind w:firstLine="0"/>
            </w:pPr>
            <w:r>
              <w:rPr>
                <w:rFonts w:ascii="Liberation Serif" w:hAnsi="Liberation Serif"/>
                <w:sz w:val="24"/>
              </w:rPr>
              <w:t>Выборочный статистический (1–5%)</w:t>
            </w:r>
          </w:p>
        </w:tc>
        <w:tc>
          <w:tcPr>
            <w:tcW w:type="dxa" w:w="2422"/>
          </w:tcPr>
          <w:p>
            <w:pPr>
              <w:spacing w:line="240" w:lineRule="auto" w:before="0" w:after="0"/>
              <w:ind w:firstLine="0"/>
            </w:pPr>
            <w:r>
              <w:rPr>
                <w:rFonts w:ascii="Liberation Serif" w:hAnsi="Liberation Serif"/>
                <w:sz w:val="24"/>
              </w:rPr>
              <w:t>Не гарантирован, частые ложные срабатывания</w:t>
            </w:r>
          </w:p>
        </w:tc>
        <w:tc>
          <w:tcPr>
            <w:tcW w:type="dxa" w:w="2422"/>
          </w:tcPr>
          <w:p>
            <w:pPr>
              <w:spacing w:line="240" w:lineRule="auto" w:before="0" w:after="0"/>
              <w:ind w:firstLine="0"/>
            </w:pPr>
            <w:r>
              <w:rPr>
                <w:rFonts w:ascii="Liberation Serif" w:hAnsi="Liberation Serif"/>
                <w:sz w:val="24"/>
              </w:rPr>
              <w:t>100% автоматизированное тестирование каждой единицы</w:t>
            </w:r>
          </w:p>
        </w:tc>
      </w:tr>
      <w:tr>
        <w:tc>
          <w:tcPr>
            <w:tcW w:type="dxa" w:w="2422"/>
          </w:tcPr>
          <w:p>
            <w:pPr>
              <w:spacing w:line="240" w:lineRule="auto" w:before="0" w:after="0"/>
              <w:ind w:firstLine="0"/>
            </w:pPr>
            <w:r>
              <w:rPr>
                <w:rFonts w:ascii="Liberation Serif" w:hAnsi="Liberation Serif"/>
                <w:sz w:val="24"/>
              </w:rPr>
              <w:t>Гибкость производства</w:t>
            </w:r>
          </w:p>
        </w:tc>
        <w:tc>
          <w:tcPr>
            <w:tcW w:type="dxa" w:w="2422"/>
          </w:tcPr>
          <w:p>
            <w:pPr>
              <w:spacing w:line="240" w:lineRule="auto" w:before="0" w:after="0"/>
              <w:ind w:firstLine="0"/>
            </w:pPr>
            <w:r>
              <w:rPr>
                <w:rFonts w:ascii="Liberation Serif" w:hAnsi="Liberation Serif"/>
                <w:sz w:val="24"/>
              </w:rPr>
              <w:t>Низкая (жёсткая настройка линий)</w:t>
            </w:r>
          </w:p>
        </w:tc>
        <w:tc>
          <w:tcPr>
            <w:tcW w:type="dxa" w:w="2422"/>
          </w:tcPr>
          <w:p>
            <w:pPr>
              <w:spacing w:line="240" w:lineRule="auto" w:before="0" w:after="0"/>
              <w:ind w:firstLine="0"/>
            </w:pPr>
            <w:r>
              <w:rPr>
                <w:rFonts w:ascii="Liberation Serif" w:hAnsi="Liberation Serif"/>
                <w:sz w:val="24"/>
              </w:rPr>
              <w:t>Средняя</w:t>
            </w:r>
          </w:p>
        </w:tc>
        <w:tc>
          <w:tcPr>
            <w:tcW w:type="dxa" w:w="2422"/>
          </w:tcPr>
          <w:p>
            <w:pPr>
              <w:spacing w:line="240" w:lineRule="auto" w:before="0" w:after="0"/>
              <w:ind w:firstLine="0"/>
            </w:pPr>
            <w:r>
              <w:rPr>
                <w:rFonts w:ascii="Liberation Serif" w:hAnsi="Liberation Serif"/>
                <w:sz w:val="24"/>
              </w:rPr>
              <w:t>Высокая: оперативная смена микрокода под ТЗ заказчика</w:t>
            </w:r>
          </w:p>
        </w:tc>
      </w:tr>
      <w:tr>
        <w:tc>
          <w:tcPr>
            <w:tcW w:type="dxa" w:w="2422"/>
          </w:tcPr>
          <w:p>
            <w:pPr>
              <w:spacing w:line="240" w:lineRule="auto" w:before="0" w:after="0"/>
              <w:ind w:firstLine="0"/>
            </w:pPr>
            <w:r>
              <w:rPr>
                <w:rFonts w:ascii="Liberation Serif" w:hAnsi="Liberation Serif"/>
                <w:sz w:val="24"/>
              </w:rPr>
              <w:t>Влияние технологического сбора с 01.09.2026</w:t>
            </w:r>
          </w:p>
        </w:tc>
        <w:tc>
          <w:tcPr>
            <w:tcW w:type="dxa" w:w="2422"/>
          </w:tcPr>
          <w:p>
            <w:pPr>
              <w:spacing w:line="240" w:lineRule="auto" w:before="0" w:after="0"/>
              <w:ind w:firstLine="0"/>
            </w:pPr>
            <w:r>
              <w:rPr>
                <w:rFonts w:ascii="Liberation Serif" w:hAnsi="Liberation Serif"/>
                <w:sz w:val="24"/>
              </w:rPr>
              <w:t>Отсутствует</w:t>
            </w:r>
          </w:p>
        </w:tc>
        <w:tc>
          <w:tcPr>
            <w:tcW w:type="dxa" w:w="2422"/>
          </w:tcPr>
          <w:p>
            <w:pPr>
              <w:spacing w:line="240" w:lineRule="auto" w:before="0" w:after="0"/>
              <w:ind w:firstLine="0"/>
            </w:pPr>
            <w:r>
              <w:rPr>
                <w:rFonts w:ascii="Liberation Serif" w:hAnsi="Liberation Serif"/>
                <w:sz w:val="24"/>
              </w:rPr>
              <w:t>Критическое (удорожание 60–150%)</w:t>
            </w:r>
          </w:p>
        </w:tc>
        <w:tc>
          <w:tcPr>
            <w:tcW w:type="dxa" w:w="2422"/>
          </w:tcPr>
          <w:p>
            <w:pPr>
              <w:spacing w:line="240" w:lineRule="auto" w:before="0" w:after="0"/>
              <w:ind w:firstLine="0"/>
            </w:pPr>
            <w:r>
              <w:rPr>
                <w:rFonts w:ascii="Liberation Serif" w:hAnsi="Liberation Serif"/>
                <w:sz w:val="24"/>
              </w:rPr>
              <w:t>Отсутствует (импорт рассыпной ЭКБ не облагается)</w:t>
            </w:r>
          </w:p>
        </w:tc>
      </w:tr>
    </w:tbl>
    <w:p>
      <w: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дымо-тепловые извещатели среднего ценового сегмента варьируются в диапазоне 1 300–3 100 рублей за единицу. В частности, широко распространённая модель ИП 212/101-4-A1R «ПРОФИ-ОТ» (прямой функциональный аналог проектируемой продукции) реализуется по розничной цене 1 578 рублей; модель ИП 212/101-18-A3R1 класса A3R1 — по цене 3 104 рубля. На нижней границе сегмента представлены моносенсорные дымовые и тепловые извещатели стоимостью 162–900 рублей, которые не являются прямыми конкурентами комбинированных устройств.</w:t>
      </w:r>
    </w:p>
    <w:p>
      <w:pPr>
        <w:pStyle w:val="TableCaption"/>
      </w:pPr>
      <w:r>
        <w:t>Таблица 3 – Сравнительный анализ отпускных цен производителей пожарных извещателей по состоянию на май 2026 года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Модель</w:t>
            </w:r>
          </w:p>
        </w:tc>
        <w:tc>
          <w:tcPr>
            <w:tcW w:type="dxa" w:w="2422"/>
          </w:tcPr>
          <w:p>
            <w:pPr>
              <w:spacing w:line="240" w:lineRule="auto" w:before="0" w:after="0"/>
              <w:ind w:firstLine="0"/>
            </w:pPr>
            <w:r>
              <w:rPr>
                <w:rFonts w:ascii="Liberation Serif" w:hAnsi="Liberation Serif"/>
                <w:sz w:val="24"/>
              </w:rPr>
              <w:t>Производитель</w:t>
            </w:r>
          </w:p>
        </w:tc>
        <w:tc>
          <w:tcPr>
            <w:tcW w:type="dxa" w:w="2422"/>
          </w:tcPr>
          <w:p>
            <w:pPr>
              <w:spacing w:line="240" w:lineRule="auto" w:before="0" w:after="0"/>
              <w:ind w:firstLine="0"/>
            </w:pPr>
            <w:r>
              <w:rPr>
                <w:rFonts w:ascii="Liberation Serif" w:hAnsi="Liberation Serif"/>
                <w:sz w:val="24"/>
              </w:rPr>
              <w:t>Тип</w:t>
            </w:r>
          </w:p>
        </w:tc>
        <w:tc>
          <w:tcPr>
            <w:tcW w:type="dxa" w:w="2422"/>
          </w:tcPr>
          <w:p>
            <w:pPr>
              <w:spacing w:line="240" w:lineRule="auto" w:before="0" w:after="0"/>
              <w:ind w:firstLine="0"/>
            </w:pPr>
            <w:r>
              <w:rPr>
                <w:rFonts w:ascii="Liberation Serif" w:hAnsi="Liberation Serif"/>
                <w:sz w:val="24"/>
              </w:rPr>
              <w:t>Розничная цена, руб.</w:t>
            </w:r>
          </w:p>
        </w:tc>
      </w:tr>
      <w:tr>
        <w:tc>
          <w:tcPr>
            <w:tcW w:type="dxa" w:w="2422"/>
          </w:tcPr>
          <w:p>
            <w:pPr>
              <w:spacing w:line="240" w:lineRule="auto" w:before="0" w:after="0"/>
              <w:ind w:firstLine="0"/>
            </w:pPr>
            <w:r>
              <w:rPr>
                <w:rFonts w:ascii="Liberation Serif" w:hAnsi="Liberation Serif"/>
                <w:sz w:val="24"/>
              </w:rPr>
              <w:t>ИП 103-5/4-А0</w:t>
            </w:r>
          </w:p>
        </w:tc>
        <w:tc>
          <w:tcPr>
            <w:tcW w:type="dxa" w:w="2422"/>
          </w:tcPr>
          <w:p>
            <w:pPr>
              <w:spacing w:line="240" w:lineRule="auto" w:before="0" w:after="0"/>
              <w:ind w:firstLine="0"/>
            </w:pPr>
            <w:r>
              <w:rPr>
                <w:rFonts w:ascii="Liberation Serif" w:hAnsi="Liberation Serif"/>
                <w:sz w:val="24"/>
              </w:rPr>
              <w:t>Система-Сервис</w:t>
            </w:r>
          </w:p>
        </w:tc>
        <w:tc>
          <w:tcPr>
            <w:tcW w:type="dxa" w:w="2422"/>
          </w:tcPr>
          <w:p>
            <w:pPr>
              <w:spacing w:line="240" w:lineRule="auto" w:before="0" w:after="0"/>
              <w:ind w:firstLine="0"/>
            </w:pPr>
            <w:r>
              <w:rPr>
                <w:rFonts w:ascii="Liberation Serif" w:hAnsi="Liberation Serif"/>
                <w:sz w:val="24"/>
              </w:rPr>
              <w:t>Тепловой максимальный</w:t>
            </w:r>
          </w:p>
        </w:tc>
        <w:tc>
          <w:tcPr>
            <w:tcW w:type="dxa" w:w="2422"/>
          </w:tcPr>
          <w:p>
            <w:pPr>
              <w:spacing w:line="240" w:lineRule="auto" w:before="0" w:after="0"/>
              <w:ind w:firstLine="0"/>
            </w:pPr>
            <w:r>
              <w:rPr>
                <w:rFonts w:ascii="Liberation Serif" w:hAnsi="Liberation Serif"/>
                <w:sz w:val="24"/>
              </w:rPr>
              <w:t>162</w:t>
            </w:r>
          </w:p>
        </w:tc>
      </w:tr>
      <w:tr>
        <w:tc>
          <w:tcPr>
            <w:tcW w:type="dxa" w:w="2422"/>
          </w:tcPr>
          <w:p>
            <w:pPr>
              <w:spacing w:line="240" w:lineRule="auto" w:before="0" w:after="0"/>
              <w:ind w:firstLine="0"/>
            </w:pPr>
            <w:r>
              <w:rPr>
                <w:rFonts w:ascii="Liberation Serif" w:hAnsi="Liberation Serif"/>
                <w:sz w:val="24"/>
              </w:rPr>
              <w:t>ДИП-34ПА</w:t>
            </w:r>
          </w:p>
        </w:tc>
        <w:tc>
          <w:tcPr>
            <w:tcW w:type="dxa" w:w="2422"/>
          </w:tcPr>
          <w:p>
            <w:pPr>
              <w:spacing w:line="240" w:lineRule="auto" w:before="0" w:after="0"/>
              <w:ind w:firstLine="0"/>
            </w:pPr>
            <w:r>
              <w:rPr>
                <w:rFonts w:ascii="Liberation Serif" w:hAnsi="Liberation Serif"/>
                <w:sz w:val="24"/>
              </w:rPr>
              <w:t>Болид</w:t>
            </w:r>
          </w:p>
        </w:tc>
        <w:tc>
          <w:tcPr>
            <w:tcW w:type="dxa" w:w="2422"/>
          </w:tcPr>
          <w:p>
            <w:pPr>
              <w:spacing w:line="240" w:lineRule="auto" w:before="0" w:after="0"/>
              <w:ind w:firstLine="0"/>
            </w:pPr>
            <w:r>
              <w:rPr>
                <w:rFonts w:ascii="Liberation Serif" w:hAnsi="Liberation Serif"/>
                <w:sz w:val="24"/>
              </w:rPr>
              <w:t>Адресный дымовой</w:t>
            </w:r>
          </w:p>
        </w:tc>
        <w:tc>
          <w:tcPr>
            <w:tcW w:type="dxa" w:w="2422"/>
          </w:tcPr>
          <w:p>
            <w:pPr>
              <w:spacing w:line="240" w:lineRule="auto" w:before="0" w:after="0"/>
              <w:ind w:firstLine="0"/>
            </w:pPr>
            <w:r>
              <w:rPr>
                <w:rFonts w:ascii="Liberation Serif" w:hAnsi="Liberation Serif"/>
                <w:sz w:val="24"/>
              </w:rPr>
              <w:t>800</w:t>
            </w:r>
          </w:p>
        </w:tc>
      </w:tr>
      <w:tr>
        <w:tc>
          <w:tcPr>
            <w:tcW w:type="dxa" w:w="2422"/>
          </w:tcPr>
          <w:p>
            <w:pPr>
              <w:spacing w:line="240" w:lineRule="auto" w:before="0" w:after="0"/>
              <w:ind w:firstLine="0"/>
            </w:pPr>
            <w:r>
              <w:rPr>
                <w:rFonts w:ascii="Liberation Serif" w:hAnsi="Liberation Serif"/>
                <w:sz w:val="24"/>
              </w:rPr>
              <w:t>ИП 212/101-4-A1R «ПРОФИ-ОТ»</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A1R</w:t>
            </w:r>
          </w:p>
        </w:tc>
        <w:tc>
          <w:tcPr>
            <w:tcW w:type="dxa" w:w="2422"/>
          </w:tcPr>
          <w:p>
            <w:pPr>
              <w:spacing w:line="240" w:lineRule="auto" w:before="0" w:after="0"/>
              <w:ind w:firstLine="0"/>
            </w:pPr>
            <w:r>
              <w:rPr>
                <w:rFonts w:ascii="Liberation Serif" w:hAnsi="Liberation Serif"/>
                <w:sz w:val="24"/>
              </w:rPr>
              <w:t>1 578</w:t>
            </w:r>
          </w:p>
        </w:tc>
      </w:tr>
      <w:tr>
        <w:tc>
          <w:tcPr>
            <w:tcW w:type="dxa" w:w="2422"/>
          </w:tcPr>
          <w:p>
            <w:pPr>
              <w:spacing w:line="240" w:lineRule="auto" w:before="0" w:after="0"/>
              <w:ind w:firstLine="0"/>
            </w:pPr>
            <w:r>
              <w:rPr>
                <w:rFonts w:ascii="Liberation Serif" w:hAnsi="Liberation Serif"/>
                <w:sz w:val="24"/>
              </w:rPr>
              <w:t>ИП 212/101-18-A3R1</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A3R1</w:t>
            </w:r>
          </w:p>
        </w:tc>
        <w:tc>
          <w:tcPr>
            <w:tcW w:type="dxa" w:w="2422"/>
          </w:tcPr>
          <w:p>
            <w:pPr>
              <w:spacing w:line="240" w:lineRule="auto" w:before="0" w:after="0"/>
              <w:ind w:firstLine="0"/>
            </w:pPr>
            <w:r>
              <w:rPr>
                <w:rFonts w:ascii="Liberation Serif" w:hAnsi="Liberation Serif"/>
                <w:sz w:val="24"/>
              </w:rPr>
              <w:t>3 104</w:t>
            </w:r>
          </w:p>
        </w:tc>
      </w:tr>
      <w:tr>
        <w:tc>
          <w:tcPr>
            <w:tcW w:type="dxa" w:w="2422"/>
          </w:tcPr>
          <w:p>
            <w:pPr>
              <w:spacing w:line="240" w:lineRule="auto" w:before="0" w:after="0"/>
              <w:ind w:firstLine="0"/>
            </w:pPr>
            <w:r>
              <w:rPr>
                <w:rFonts w:ascii="Liberation Serif" w:hAnsi="Liberation Serif"/>
                <w:sz w:val="24"/>
              </w:rPr>
              <w:t>ИП 101 «Гранат»</w:t>
            </w:r>
          </w:p>
        </w:tc>
        <w:tc>
          <w:tcPr>
            <w:tcW w:type="dxa" w:w="2422"/>
          </w:tcPr>
          <w:p>
            <w:pPr>
              <w:spacing w:line="240" w:lineRule="auto" w:before="0" w:after="0"/>
              <w:ind w:firstLine="0"/>
            </w:pPr>
            <w:r>
              <w:rPr>
                <w:rFonts w:ascii="Liberation Serif" w:hAnsi="Liberation Serif"/>
                <w:sz w:val="24"/>
              </w:rPr>
              <w:t>Ирсэт-Центр</w:t>
            </w:r>
          </w:p>
        </w:tc>
        <w:tc>
          <w:tcPr>
            <w:tcW w:type="dxa" w:w="2422"/>
          </w:tcPr>
          <w:p>
            <w:pPr>
              <w:spacing w:line="240" w:lineRule="auto" w:before="0" w:after="0"/>
              <w:ind w:firstLine="0"/>
            </w:pPr>
            <w:r>
              <w:rPr>
                <w:rFonts w:ascii="Liberation Serif" w:hAnsi="Liberation Serif"/>
                <w:sz w:val="24"/>
              </w:rPr>
              <w:t>Тепловой максимальный IP67</w:t>
            </w:r>
          </w:p>
        </w:tc>
        <w:tc>
          <w:tcPr>
            <w:tcW w:type="dxa" w:w="2422"/>
          </w:tcPr>
          <w:p>
            <w:pPr>
              <w:spacing w:line="240" w:lineRule="auto" w:before="0" w:after="0"/>
              <w:ind w:firstLine="0"/>
            </w:pPr>
            <w:r>
              <w:rPr>
                <w:rFonts w:ascii="Liberation Serif" w:hAnsi="Liberation Serif"/>
                <w:sz w:val="24"/>
              </w:rPr>
              <w:t>5 369</w:t>
            </w:r>
          </w:p>
        </w:tc>
      </w:tr>
    </w:tbl>
    <w:p>
      <w:r>
        <w:t>Отпускная цена проектируемой продукции для монтажных организаций (оптовый B2B-канал)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pPr>
        <w:pStyle w:val="TableCaption"/>
      </w:pPr>
      <w:r>
        <w:t>Таблица 4 – План сбыта продукции предприятия по видам продукции и прогноз годовой выручки на проектной мощности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0" w:after="0"/>
              <w:ind w:firstLine="0"/>
              <w:jc w:val="center"/>
            </w:pPr>
            <w:r>
              <w:rPr>
                <w:rFonts w:ascii="Liberation Serif" w:hAnsi="Liberation Serif"/>
                <w:sz w:val="24"/>
              </w:rPr>
              <w:t>Наименование продукции</w:t>
            </w:r>
          </w:p>
        </w:tc>
        <w:tc>
          <w:tcPr>
            <w:tcW w:type="dxa" w:w="1938"/>
          </w:tcPr>
          <w:p>
            <w:pPr>
              <w:spacing w:line="240" w:lineRule="auto" w:before="0" w:after="0"/>
              <w:ind w:firstLine="0"/>
              <w:jc w:val="center"/>
            </w:pPr>
            <w:r>
              <w:rPr>
                <w:rFonts w:ascii="Liberation Serif" w:hAnsi="Liberation Serif"/>
                <w:sz w:val="24"/>
              </w:rPr>
              <w:t>Отпускная цена, руб.</w:t>
            </w:r>
          </w:p>
        </w:tc>
        <w:tc>
          <w:tcPr>
            <w:tcW w:type="dxa" w:w="1938"/>
          </w:tcPr>
          <w:p>
            <w:pPr>
              <w:spacing w:line="240" w:lineRule="auto" w:before="0" w:after="0"/>
              <w:ind w:firstLine="0"/>
              <w:jc w:val="center"/>
            </w:pPr>
            <w:r>
              <w:rPr>
                <w:rFonts w:ascii="Liberation Serif" w:hAnsi="Liberation Serif"/>
                <w:sz w:val="24"/>
              </w:rPr>
              <w:t>Объём, шт./мес.</w:t>
            </w:r>
          </w:p>
        </w:tc>
        <w:tc>
          <w:tcPr>
            <w:tcW w:type="dxa" w:w="1938"/>
          </w:tcPr>
          <w:p>
            <w:pPr>
              <w:spacing w:line="240" w:lineRule="auto" w:before="0" w:after="0"/>
              <w:ind w:firstLine="0"/>
              <w:jc w:val="center"/>
            </w:pPr>
            <w:r>
              <w:rPr>
                <w:rFonts w:ascii="Liberation Serif" w:hAnsi="Liberation Serif"/>
                <w:sz w:val="24"/>
              </w:rPr>
              <w:t>Выручка, руб./мес.</w:t>
            </w:r>
          </w:p>
        </w:tc>
        <w:tc>
          <w:tcPr>
            <w:tcW w:type="dxa" w:w="1938"/>
          </w:tcPr>
          <w:p>
            <w:pPr>
              <w:spacing w:line="240" w:lineRule="auto" w:before="0" w:after="0"/>
              <w:ind w:firstLine="0"/>
              <w:jc w:val="center"/>
            </w:pPr>
            <w:r>
              <w:rPr>
                <w:rFonts w:ascii="Liberation Serif" w:hAnsi="Liberation Serif"/>
                <w:sz w:val="24"/>
              </w:rPr>
              <w:t>Выручка в год, руб.</w:t>
            </w:r>
          </w:p>
        </w:tc>
      </w:tr>
      <w:tr>
        <w:tc>
          <w:tcPr>
            <w:tcW w:type="dxa" w:w="1938"/>
          </w:tcPr>
          <w:p>
            <w:pPr>
              <w:spacing w:line="240" w:lineRule="auto" w:before="0" w:after="0"/>
              <w:ind w:firstLine="0"/>
              <w:jc w:val="center"/>
            </w:pPr>
            <w:r>
              <w:rPr>
                <w:rFonts w:ascii="Liberation Serif" w:hAnsi="Liberation Serif"/>
                <w:sz w:val="24"/>
              </w:rPr>
              <w:t>Извещатель комбинированный дымо-тепловой</w:t>
            </w:r>
          </w:p>
        </w:tc>
        <w:tc>
          <w:tcPr>
            <w:tcW w:type="dxa" w:w="1938"/>
          </w:tcPr>
          <w:p>
            <w:pPr>
              <w:spacing w:line="240" w:lineRule="auto" w:before="0" w:after="0"/>
              <w:ind w:firstLine="0"/>
              <w:jc w:val="center"/>
            </w:pPr>
            <w:r>
              <w:rPr>
                <w:rFonts w:ascii="Liberation Serif" w:hAnsi="Liberation Serif"/>
                <w:sz w:val="24"/>
              </w:rPr>
              <w:t>1 200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1 260 000</w:t>
            </w:r>
          </w:p>
        </w:tc>
        <w:tc>
          <w:tcPr>
            <w:tcW w:type="dxa" w:w="1938"/>
          </w:tcPr>
          <w:p>
            <w:pPr>
              <w:spacing w:line="240" w:lineRule="auto" w:before="0" w:after="0"/>
              <w:ind w:firstLine="0"/>
              <w:jc w:val="center"/>
            </w:pPr>
            <w:r>
              <w:rPr>
                <w:rFonts w:ascii="Liberation Serif" w:hAnsi="Liberation Serif"/>
                <w:sz w:val="24"/>
              </w:rPr>
              <w:t>15 120 000</w:t>
            </w:r>
          </w:p>
        </w:tc>
      </w:tr>
      <w:tr>
        <w:tc>
          <w:tcPr>
            <w:tcW w:type="dxa" w:w="1938"/>
          </w:tcPr>
          <w:p>
            <w:pPr>
              <w:spacing w:line="240" w:lineRule="auto" w:before="0" w:after="0"/>
              <w:ind w:firstLine="0"/>
              <w:jc w:val="center"/>
            </w:pPr>
            <w:r>
              <w:rPr>
                <w:rFonts w:ascii="Liberation Serif" w:hAnsi="Liberation Serif"/>
                <w:sz w:val="24"/>
              </w:rPr>
              <w:t>Монтажная база с изолятором КЗ</w:t>
            </w:r>
          </w:p>
        </w:tc>
        <w:tc>
          <w:tcPr>
            <w:tcW w:type="dxa" w:w="1938"/>
          </w:tcPr>
          <w:p>
            <w:pPr>
              <w:spacing w:line="240" w:lineRule="auto" w:before="0" w:after="0"/>
              <w:ind w:firstLine="0"/>
              <w:jc w:val="center"/>
            </w:pPr>
            <w:r>
              <w:rPr>
                <w:rFonts w:ascii="Liberation Serif" w:hAnsi="Liberation Serif"/>
                <w:sz w:val="24"/>
              </w:rPr>
              <w:t>250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245 000</w:t>
            </w:r>
          </w:p>
        </w:tc>
        <w:tc>
          <w:tcPr>
            <w:tcW w:type="dxa" w:w="1938"/>
          </w:tcPr>
          <w:p>
            <w:pPr>
              <w:spacing w:line="240" w:lineRule="auto" w:before="0" w:after="0"/>
              <w:ind w:firstLine="0"/>
              <w:jc w:val="center"/>
            </w:pPr>
            <w:r>
              <w:rPr>
                <w:rFonts w:ascii="Liberation Serif" w:hAnsi="Liberation Serif"/>
                <w:sz w:val="24"/>
              </w:rPr>
              <w:t>2 940 000</w:t>
            </w:r>
          </w:p>
        </w:tc>
      </w:tr>
      <w:tr>
        <w:tc>
          <w:tcPr>
            <w:tcW w:type="dxa" w:w="1938"/>
          </w:tcPr>
          <w:p>
            <w:pPr>
              <w:spacing w:line="240" w:lineRule="auto" w:before="0" w:after="0"/>
              <w:ind w:firstLine="0"/>
              <w:jc w:val="center"/>
            </w:pPr>
            <w:r>
              <w:rPr>
                <w:rFonts w:ascii="Liberation Serif" w:hAnsi="Liberation Serif"/>
                <w:sz w:val="24"/>
              </w:rPr>
              <w:t>Услуги пусконаладки, шефмонтажа</w:t>
            </w:r>
          </w:p>
        </w:tc>
        <w:tc>
          <w:tcPr>
            <w:tcW w:type="dxa" w:w="1938"/>
          </w:tcPr>
          <w:p>
            <w:pPr>
              <w:spacing w:line="240" w:lineRule="auto" w:before="0" w:after="0"/>
              <w:ind w:firstLine="0"/>
              <w:jc w:val="center"/>
            </w:pPr>
            <w:r>
              <w:rPr>
                <w:rFonts w:ascii="Liberation Serif" w:hAnsi="Liberation Serif"/>
                <w:sz w:val="24"/>
              </w:rPr>
              <w:t>5 000 / объект</w:t>
            </w:r>
          </w:p>
        </w:tc>
        <w:tc>
          <w:tcPr>
            <w:tcW w:type="dxa" w:w="1938"/>
          </w:tcPr>
          <w:p>
            <w:pPr>
              <w:spacing w:line="240" w:lineRule="auto" w:before="0" w:after="0"/>
              <w:ind w:firstLine="0"/>
              <w:jc w:val="center"/>
            </w:pPr>
            <w:r>
              <w:rPr>
                <w:rFonts w:ascii="Liberation Serif" w:hAnsi="Liberation Serif"/>
                <w:sz w:val="24"/>
              </w:rPr>
              <w:t>10</w:t>
            </w:r>
          </w:p>
        </w:tc>
        <w:tc>
          <w:tcPr>
            <w:tcW w:type="dxa" w:w="1938"/>
          </w:tcPr>
          <w:p>
            <w:pPr>
              <w:spacing w:line="240" w:lineRule="auto" w:before="0" w:after="0"/>
              <w:ind w:firstLine="0"/>
              <w:jc w:val="center"/>
            </w:pPr>
            <w:r>
              <w:rPr>
                <w:rFonts w:ascii="Liberation Serif" w:hAnsi="Liberation Serif"/>
                <w:sz w:val="24"/>
              </w:rPr>
              <w:t>50 000</w:t>
            </w:r>
          </w:p>
        </w:tc>
        <w:tc>
          <w:tcPr>
            <w:tcW w:type="dxa" w:w="1938"/>
          </w:tcPr>
          <w:p>
            <w:pPr>
              <w:spacing w:line="240" w:lineRule="auto" w:before="0" w:after="0"/>
              <w:ind w:firstLine="0"/>
              <w:jc w:val="center"/>
            </w:pPr>
            <w:r>
              <w:rPr>
                <w:rFonts w:ascii="Liberation Serif" w:hAnsi="Liberation Serif"/>
                <w:sz w:val="24"/>
              </w:rPr>
              <w:t>600 000</w:t>
            </w:r>
          </w:p>
        </w:tc>
      </w:tr>
      <w:tr>
        <w:tc>
          <w:tcPr>
            <w:tcW w:type="dxa" w:w="1938"/>
          </w:tcPr>
          <w:p>
            <w:pPr>
              <w:spacing w:line="240" w:lineRule="auto" w:before="0" w:after="0"/>
              <w:ind w:firstLine="0"/>
              <w:jc w:val="center"/>
            </w:pPr>
            <w:r>
              <w:rPr>
                <w:rFonts w:ascii="Liberation Serif" w:hAnsi="Liberation Serif"/>
                <w:sz w:val="24"/>
              </w:rPr>
              <w:t>ИТОГО</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1 555 000</w:t>
            </w:r>
          </w:p>
        </w:tc>
        <w:tc>
          <w:tcPr>
            <w:tcW w:type="dxa" w:w="1938"/>
          </w:tcPr>
          <w:p>
            <w:pPr>
              <w:spacing w:line="240" w:lineRule="auto" w:before="0" w:after="0"/>
              <w:ind w:firstLine="0"/>
              <w:jc w:val="center"/>
            </w:pPr>
            <w:r>
              <w:rPr>
                <w:rFonts w:ascii="Liberation Serif" w:hAnsi="Liberation Serif"/>
                <w:sz w:val="24"/>
              </w:rPr>
              <w:t>18 660 000</w:t>
            </w:r>
          </w:p>
        </w:tc>
      </w:tr>
    </w:tbl>
    <w:p>
      <w: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дополнительную рентабельность по сравнению с предприятиями, превышающими указанный порог.</w:t>
      </w:r>
    </w:p>
    <w:p>
      <w: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pPr>
        <w:pStyle w:val="TableCaption"/>
      </w:pPr>
      <w:r>
        <w:t>Таблица 5 – Поэтапный план освоения проектной мощности в первый год операционной деятельности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jc w:val="center"/>
            </w:pPr>
            <w:r>
              <w:rPr>
                <w:rFonts w:ascii="Liberation Serif" w:hAnsi="Liberation Serif"/>
                <w:sz w:val="24"/>
              </w:rPr>
              <w:t>Месяц</w:t>
            </w:r>
          </w:p>
        </w:tc>
        <w:tc>
          <w:tcPr>
            <w:tcW w:type="dxa" w:w="2422"/>
          </w:tcPr>
          <w:p>
            <w:pPr>
              <w:spacing w:line="240" w:lineRule="auto" w:before="0" w:after="0"/>
              <w:ind w:firstLine="0"/>
              <w:jc w:val="center"/>
            </w:pPr>
            <w:r>
              <w:rPr>
                <w:rFonts w:ascii="Liberation Serif" w:hAnsi="Liberation Serif"/>
                <w:sz w:val="24"/>
              </w:rPr>
              <w:t>Загрузка, %</w:t>
            </w:r>
          </w:p>
        </w:tc>
        <w:tc>
          <w:tcPr>
            <w:tcW w:type="dxa" w:w="2422"/>
          </w:tcPr>
          <w:p>
            <w:pPr>
              <w:spacing w:line="240" w:lineRule="auto" w:before="0" w:after="0"/>
              <w:ind w:firstLine="0"/>
              <w:jc w:val="center"/>
            </w:pPr>
            <w:r>
              <w:rPr>
                <w:rFonts w:ascii="Liberation Serif" w:hAnsi="Liberation Serif"/>
                <w:sz w:val="24"/>
              </w:rPr>
              <w:t>Объём выпуска, шт./мес.</w:t>
            </w:r>
          </w:p>
        </w:tc>
        <w:tc>
          <w:tcPr>
            <w:tcW w:type="dxa" w:w="2422"/>
          </w:tcPr>
          <w:p>
            <w:pPr>
              <w:spacing w:line="240" w:lineRule="auto" w:before="0" w:after="0"/>
              <w:ind w:firstLine="0"/>
              <w:jc w:val="center"/>
            </w:pPr>
            <w:r>
              <w:rPr>
                <w:rFonts w:ascii="Liberation Serif" w:hAnsi="Liberation Serif"/>
                <w:sz w:val="24"/>
              </w:rPr>
              <w:t>Выручка, руб./мес.</w:t>
            </w:r>
          </w:p>
        </w:tc>
      </w:tr>
      <w:tr>
        <w:tc>
          <w:tcPr>
            <w:tcW w:type="dxa" w:w="2422"/>
          </w:tcPr>
          <w:p>
            <w:pPr>
              <w:spacing w:line="240" w:lineRule="auto" w:before="0" w:after="0"/>
              <w:ind w:firstLine="0"/>
              <w:jc w:val="center"/>
            </w:pPr>
            <w:r>
              <w:rPr>
                <w:rFonts w:ascii="Liberation Serif" w:hAnsi="Liberation Serif"/>
                <w:sz w:val="24"/>
              </w:rPr>
              <w:t>1–2</w:t>
            </w:r>
          </w:p>
        </w:tc>
        <w:tc>
          <w:tcPr>
            <w:tcW w:type="dxa" w:w="2422"/>
          </w:tcPr>
          <w:p>
            <w:pPr>
              <w:spacing w:line="240" w:lineRule="auto" w:before="0" w:after="0"/>
              <w:ind w:firstLine="0"/>
              <w:jc w:val="center"/>
            </w:pPr>
            <w:r>
              <w:rPr>
                <w:rFonts w:ascii="Liberation Serif" w:hAnsi="Liberation Serif"/>
                <w:sz w:val="24"/>
              </w:rPr>
              <w:t>50</w:t>
            </w:r>
          </w:p>
        </w:tc>
        <w:tc>
          <w:tcPr>
            <w:tcW w:type="dxa" w:w="2422"/>
          </w:tcPr>
          <w:p>
            <w:pPr>
              <w:spacing w:line="240" w:lineRule="auto" w:before="0" w:after="0"/>
              <w:ind w:firstLine="0"/>
              <w:jc w:val="center"/>
            </w:pPr>
            <w:r>
              <w:rPr>
                <w:rFonts w:ascii="Liberation Serif" w:hAnsi="Liberation Serif"/>
                <w:sz w:val="24"/>
              </w:rPr>
              <w:t>350</w:t>
            </w:r>
          </w:p>
        </w:tc>
        <w:tc>
          <w:tcPr>
            <w:tcW w:type="dxa" w:w="2422"/>
          </w:tcPr>
          <w:p>
            <w:pPr>
              <w:spacing w:line="240" w:lineRule="auto" w:before="0" w:after="0"/>
              <w:ind w:firstLine="0"/>
              <w:jc w:val="center"/>
            </w:pPr>
            <w:r>
              <w:rPr>
                <w:rFonts w:ascii="Liberation Serif" w:hAnsi="Liberation Serif"/>
                <w:sz w:val="24"/>
              </w:rPr>
              <w:t>777 500</w:t>
            </w:r>
          </w:p>
        </w:tc>
      </w:tr>
      <w:tr>
        <w:tc>
          <w:tcPr>
            <w:tcW w:type="dxa" w:w="2422"/>
          </w:tcPr>
          <w:p>
            <w:pPr>
              <w:spacing w:line="240" w:lineRule="auto" w:before="0" w:after="0"/>
              <w:ind w:firstLine="0"/>
              <w:jc w:val="center"/>
            </w:pPr>
            <w:r>
              <w:rPr>
                <w:rFonts w:ascii="Liberation Serif" w:hAnsi="Liberation Serif"/>
                <w:sz w:val="24"/>
              </w:rPr>
              <w:t>3–4</w:t>
            </w:r>
          </w:p>
        </w:tc>
        <w:tc>
          <w:tcPr>
            <w:tcW w:type="dxa" w:w="2422"/>
          </w:tcPr>
          <w:p>
            <w:pPr>
              <w:spacing w:line="240" w:lineRule="auto" w:before="0" w:after="0"/>
              <w:ind w:firstLine="0"/>
              <w:jc w:val="center"/>
            </w:pPr>
            <w:r>
              <w:rPr>
                <w:rFonts w:ascii="Liberation Serif" w:hAnsi="Liberation Serif"/>
                <w:sz w:val="24"/>
              </w:rPr>
              <w:t>60</w:t>
            </w:r>
          </w:p>
        </w:tc>
        <w:tc>
          <w:tcPr>
            <w:tcW w:type="dxa" w:w="2422"/>
          </w:tcPr>
          <w:p>
            <w:pPr>
              <w:spacing w:line="240" w:lineRule="auto" w:before="0" w:after="0"/>
              <w:ind w:firstLine="0"/>
              <w:jc w:val="center"/>
            </w:pPr>
            <w:r>
              <w:rPr>
                <w:rFonts w:ascii="Liberation Serif" w:hAnsi="Liberation Serif"/>
                <w:sz w:val="24"/>
              </w:rPr>
              <w:t>420</w:t>
            </w:r>
          </w:p>
        </w:tc>
        <w:tc>
          <w:tcPr>
            <w:tcW w:type="dxa" w:w="2422"/>
          </w:tcPr>
          <w:p>
            <w:pPr>
              <w:spacing w:line="240" w:lineRule="auto" w:before="0" w:after="0"/>
              <w:ind w:firstLine="0"/>
              <w:jc w:val="center"/>
            </w:pPr>
            <w:r>
              <w:rPr>
                <w:rFonts w:ascii="Liberation Serif" w:hAnsi="Liberation Serif"/>
                <w:sz w:val="24"/>
              </w:rPr>
              <w:t>933 000</w:t>
            </w:r>
          </w:p>
        </w:tc>
      </w:tr>
      <w:tr>
        <w:tc>
          <w:tcPr>
            <w:tcW w:type="dxa" w:w="2422"/>
          </w:tcPr>
          <w:p>
            <w:pPr>
              <w:spacing w:line="240" w:lineRule="auto" w:before="0" w:after="0"/>
              <w:ind w:firstLine="0"/>
              <w:jc w:val="center"/>
            </w:pPr>
            <w:r>
              <w:rPr>
                <w:rFonts w:ascii="Liberation Serif" w:hAnsi="Liberation Serif"/>
                <w:sz w:val="24"/>
              </w:rPr>
              <w:t>5–6</w:t>
            </w:r>
          </w:p>
        </w:tc>
        <w:tc>
          <w:tcPr>
            <w:tcW w:type="dxa" w:w="2422"/>
          </w:tcPr>
          <w:p>
            <w:pPr>
              <w:spacing w:line="240" w:lineRule="auto" w:before="0" w:after="0"/>
              <w:ind w:firstLine="0"/>
              <w:jc w:val="center"/>
            </w:pPr>
            <w:r>
              <w:rPr>
                <w:rFonts w:ascii="Liberation Serif" w:hAnsi="Liberation Serif"/>
                <w:sz w:val="24"/>
              </w:rPr>
              <w:t>70</w:t>
            </w:r>
          </w:p>
        </w:tc>
        <w:tc>
          <w:tcPr>
            <w:tcW w:type="dxa" w:w="2422"/>
          </w:tcPr>
          <w:p>
            <w:pPr>
              <w:spacing w:line="240" w:lineRule="auto" w:before="0" w:after="0"/>
              <w:ind w:firstLine="0"/>
              <w:jc w:val="center"/>
            </w:pPr>
            <w:r>
              <w:rPr>
                <w:rFonts w:ascii="Liberation Serif" w:hAnsi="Liberation Serif"/>
                <w:sz w:val="24"/>
              </w:rPr>
              <w:t>490</w:t>
            </w:r>
          </w:p>
        </w:tc>
        <w:tc>
          <w:tcPr>
            <w:tcW w:type="dxa" w:w="2422"/>
          </w:tcPr>
          <w:p>
            <w:pPr>
              <w:spacing w:line="240" w:lineRule="auto" w:before="0" w:after="0"/>
              <w:ind w:firstLine="0"/>
              <w:jc w:val="center"/>
            </w:pPr>
            <w:r>
              <w:rPr>
                <w:rFonts w:ascii="Liberation Serif" w:hAnsi="Liberation Serif"/>
                <w:sz w:val="24"/>
              </w:rPr>
              <w:t>1 088 500</w:t>
            </w:r>
          </w:p>
        </w:tc>
      </w:tr>
      <w:tr>
        <w:tc>
          <w:tcPr>
            <w:tcW w:type="dxa" w:w="2422"/>
          </w:tcPr>
          <w:p>
            <w:pPr>
              <w:spacing w:line="240" w:lineRule="auto" w:before="0" w:after="0"/>
              <w:ind w:firstLine="0"/>
              <w:jc w:val="center"/>
            </w:pPr>
            <w:r>
              <w:rPr>
                <w:rFonts w:ascii="Liberation Serif" w:hAnsi="Liberation Serif"/>
                <w:sz w:val="24"/>
              </w:rPr>
              <w:t>7–8</w:t>
            </w:r>
          </w:p>
        </w:tc>
        <w:tc>
          <w:tcPr>
            <w:tcW w:type="dxa" w:w="2422"/>
          </w:tcPr>
          <w:p>
            <w:pPr>
              <w:spacing w:line="240" w:lineRule="auto" w:before="0" w:after="0"/>
              <w:ind w:firstLine="0"/>
              <w:jc w:val="center"/>
            </w:pPr>
            <w:r>
              <w:rPr>
                <w:rFonts w:ascii="Liberation Serif" w:hAnsi="Liberation Serif"/>
                <w:sz w:val="24"/>
              </w:rPr>
              <w:t>80</w:t>
            </w:r>
          </w:p>
        </w:tc>
        <w:tc>
          <w:tcPr>
            <w:tcW w:type="dxa" w:w="2422"/>
          </w:tcPr>
          <w:p>
            <w:pPr>
              <w:spacing w:line="240" w:lineRule="auto" w:before="0" w:after="0"/>
              <w:ind w:firstLine="0"/>
              <w:jc w:val="center"/>
            </w:pPr>
            <w:r>
              <w:rPr>
                <w:rFonts w:ascii="Liberation Serif" w:hAnsi="Liberation Serif"/>
                <w:sz w:val="24"/>
              </w:rPr>
              <w:t>560</w:t>
            </w:r>
          </w:p>
        </w:tc>
        <w:tc>
          <w:tcPr>
            <w:tcW w:type="dxa" w:w="2422"/>
          </w:tcPr>
          <w:p>
            <w:pPr>
              <w:spacing w:line="240" w:lineRule="auto" w:before="0" w:after="0"/>
              <w:ind w:firstLine="0"/>
              <w:jc w:val="center"/>
            </w:pPr>
            <w:r>
              <w:rPr>
                <w:rFonts w:ascii="Liberation Serif" w:hAnsi="Liberation Serif"/>
                <w:sz w:val="24"/>
              </w:rPr>
              <w:t>1 244 000</w:t>
            </w:r>
          </w:p>
        </w:tc>
      </w:tr>
      <w:tr>
        <w:tc>
          <w:tcPr>
            <w:tcW w:type="dxa" w:w="2422"/>
          </w:tcPr>
          <w:p>
            <w:pPr>
              <w:spacing w:line="240" w:lineRule="auto" w:before="0" w:after="0"/>
              <w:ind w:firstLine="0"/>
              <w:jc w:val="center"/>
            </w:pPr>
            <w:r>
              <w:rPr>
                <w:rFonts w:ascii="Liberation Serif" w:hAnsi="Liberation Serif"/>
                <w:sz w:val="24"/>
              </w:rPr>
              <w:t>9–10</w:t>
            </w:r>
          </w:p>
        </w:tc>
        <w:tc>
          <w:tcPr>
            <w:tcW w:type="dxa" w:w="2422"/>
          </w:tcPr>
          <w:p>
            <w:pPr>
              <w:spacing w:line="240" w:lineRule="auto" w:before="0" w:after="0"/>
              <w:ind w:firstLine="0"/>
              <w:jc w:val="center"/>
            </w:pPr>
            <w:r>
              <w:rPr>
                <w:rFonts w:ascii="Liberation Serif" w:hAnsi="Liberation Serif"/>
                <w:sz w:val="24"/>
              </w:rPr>
              <w:t>90</w:t>
            </w:r>
          </w:p>
        </w:tc>
        <w:tc>
          <w:tcPr>
            <w:tcW w:type="dxa" w:w="2422"/>
          </w:tcPr>
          <w:p>
            <w:pPr>
              <w:spacing w:line="240" w:lineRule="auto" w:before="0" w:after="0"/>
              <w:ind w:firstLine="0"/>
              <w:jc w:val="center"/>
            </w:pPr>
            <w:r>
              <w:rPr>
                <w:rFonts w:ascii="Liberation Serif" w:hAnsi="Liberation Serif"/>
                <w:sz w:val="24"/>
              </w:rPr>
              <w:t>630</w:t>
            </w:r>
          </w:p>
        </w:tc>
        <w:tc>
          <w:tcPr>
            <w:tcW w:type="dxa" w:w="2422"/>
          </w:tcPr>
          <w:p>
            <w:pPr>
              <w:spacing w:line="240" w:lineRule="auto" w:before="0" w:after="0"/>
              <w:ind w:firstLine="0"/>
              <w:jc w:val="center"/>
            </w:pPr>
            <w:r>
              <w:rPr>
                <w:rFonts w:ascii="Liberation Serif" w:hAnsi="Liberation Serif"/>
                <w:sz w:val="24"/>
              </w:rPr>
              <w:t>1 399 500</w:t>
            </w:r>
          </w:p>
        </w:tc>
      </w:tr>
      <w:tr>
        <w:tc>
          <w:tcPr>
            <w:tcW w:type="dxa" w:w="2422"/>
          </w:tcPr>
          <w:p>
            <w:pPr>
              <w:spacing w:line="240" w:lineRule="auto" w:before="0" w:after="0"/>
              <w:ind w:firstLine="0"/>
              <w:jc w:val="center"/>
            </w:pPr>
            <w:r>
              <w:rPr>
                <w:rFonts w:ascii="Liberation Serif" w:hAnsi="Liberation Serif"/>
                <w:sz w:val="24"/>
              </w:rPr>
              <w:t>11–12</w:t>
            </w:r>
          </w:p>
        </w:tc>
        <w:tc>
          <w:tcPr>
            <w:tcW w:type="dxa" w:w="2422"/>
          </w:tcPr>
          <w:p>
            <w:pPr>
              <w:spacing w:line="240" w:lineRule="auto" w:before="0" w:after="0"/>
              <w:ind w:firstLine="0"/>
              <w:jc w:val="center"/>
            </w:pPr>
            <w:r>
              <w:rPr>
                <w:rFonts w:ascii="Liberation Serif" w:hAnsi="Liberation Serif"/>
                <w:sz w:val="24"/>
              </w:rPr>
              <w:t>100</w:t>
            </w:r>
          </w:p>
        </w:tc>
        <w:tc>
          <w:tcPr>
            <w:tcW w:type="dxa" w:w="2422"/>
          </w:tcPr>
          <w:p>
            <w:pPr>
              <w:spacing w:line="240" w:lineRule="auto" w:before="0" w:after="0"/>
              <w:ind w:firstLine="0"/>
              <w:jc w:val="center"/>
            </w:pPr>
            <w:r>
              <w:rPr>
                <w:rFonts w:ascii="Liberation Serif" w:hAnsi="Liberation Serif"/>
                <w:sz w:val="24"/>
              </w:rPr>
              <w:t>700</w:t>
            </w:r>
          </w:p>
        </w:tc>
        <w:tc>
          <w:tcPr>
            <w:tcW w:type="dxa" w:w="2422"/>
          </w:tcPr>
          <w:p>
            <w:pPr>
              <w:spacing w:line="240" w:lineRule="auto" w:before="0" w:after="0"/>
              <w:ind w:firstLine="0"/>
              <w:jc w:val="center"/>
            </w:pPr>
            <w:r>
              <w:rPr>
                <w:rFonts w:ascii="Liberation Serif" w:hAnsi="Liberation Serif"/>
                <w:sz w:val="24"/>
              </w:rPr>
              <w:t>1 555 000</w:t>
            </w:r>
          </w:p>
        </w:tc>
      </w:tr>
    </w:tbl>
    <w:p>
      <w:r>
        <w:t>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pPr>
        <w:pStyle w:val="Heading2"/>
      </w:pPr>
      <w:r>
        <w:t>1.3 Выбор инструмента анализа деятельности предприятия</w:t>
      </w:r>
    </w:p>
    <w:p>
      <w: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r>
        <w:t>Универсальные табличные процессоры (Microsoft Excel, LibreOffice Calc, «МойОфис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аудита модели. В-третьих, в табличных процессорах отсутствуют встроенные средства построения отчёта о движении денежных средств (Cash Flow), отчёта о прибылях и убытках (Profit &amp; Loss)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r>
        <w:t>Аналитическая система Alt-Invest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Microsoft Excel с подключаемыми макросами и шаблонами. Alt-Invest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Alt-Invest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Microsoft Excel, сохраняющей все недостатки табличного подхода (риск случайного изменения формул, отсутствие встроенного визуального интерфейса ввода данных).</w:t>
      </w:r>
    </w:p>
    <w:p>
      <w:r>
        <w:t>Специализированные пакеты инвестиционного проектирования, к которым относится отечественная система Project Expert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Project Expert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r>
        <w:t>Архитектура Project Expert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UNIDO — международно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pPr>
        <w:pStyle w:val="TableCaption"/>
      </w:pPr>
      <w:r>
        <w:t>Таблица 6 – Сравнительный анализ программных инструментов инвестиционного моделирования</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Microsoft Excel</w:t>
            </w:r>
          </w:p>
        </w:tc>
        <w:tc>
          <w:tcPr>
            <w:tcW w:type="dxa" w:w="2422"/>
          </w:tcPr>
          <w:p>
            <w:pPr>
              <w:spacing w:line="240" w:lineRule="auto" w:before="0" w:after="0"/>
              <w:ind w:firstLine="0"/>
            </w:pPr>
            <w:r>
              <w:rPr>
                <w:rFonts w:ascii="Liberation Serif" w:hAnsi="Liberation Serif"/>
                <w:sz w:val="24"/>
              </w:rPr>
              <w:t>Alt-Invest</w:t>
            </w:r>
          </w:p>
        </w:tc>
        <w:tc>
          <w:tcPr>
            <w:tcW w:type="dxa" w:w="2422"/>
          </w:tcPr>
          <w:p>
            <w:pPr>
              <w:spacing w:line="240" w:lineRule="auto" w:before="0" w:after="0"/>
              <w:ind w:firstLine="0"/>
            </w:pPr>
            <w:r>
              <w:rPr>
                <w:rFonts w:ascii="Liberation Serif" w:hAnsi="Liberation Serif"/>
                <w:sz w:val="24"/>
              </w:rPr>
              <w:t>Project Expert</w:t>
            </w:r>
          </w:p>
        </w:tc>
      </w:tr>
      <w:tr>
        <w:tc>
          <w:tcPr>
            <w:tcW w:type="dxa" w:w="2422"/>
          </w:tcPr>
          <w:p>
            <w:pPr>
              <w:spacing w:line="240" w:lineRule="auto" w:before="0" w:after="0"/>
              <w:ind w:firstLine="0"/>
            </w:pPr>
            <w:r>
              <w:rPr>
                <w:rFonts w:ascii="Liberation Serif" w:hAnsi="Liberation Serif"/>
                <w:sz w:val="24"/>
              </w:rPr>
              <w:t>Специализация</w:t>
            </w:r>
          </w:p>
        </w:tc>
        <w:tc>
          <w:tcPr>
            <w:tcW w:type="dxa" w:w="2422"/>
          </w:tcPr>
          <w:p>
            <w:pPr>
              <w:spacing w:line="240" w:lineRule="auto" w:before="0" w:after="0"/>
              <w:ind w:firstLine="0"/>
            </w:pPr>
            <w:r>
              <w:rPr>
                <w:rFonts w:ascii="Liberation Serif" w:hAnsi="Liberation Serif"/>
                <w:sz w:val="24"/>
              </w:rPr>
              <w:t>Универсальный инструмент</w:t>
            </w:r>
          </w:p>
        </w:tc>
        <w:tc>
          <w:tcPr>
            <w:tcW w:type="dxa" w:w="2422"/>
          </w:tcPr>
          <w:p>
            <w:pPr>
              <w:spacing w:line="240" w:lineRule="auto" w:before="0" w:after="0"/>
              <w:ind w:firstLine="0"/>
            </w:pPr>
            <w:r>
              <w:rPr>
                <w:rFonts w:ascii="Liberation Serif" w:hAnsi="Liberation Serif"/>
                <w:sz w:val="24"/>
              </w:rPr>
              <w:t>Финансовый анализ</w:t>
            </w:r>
          </w:p>
        </w:tc>
        <w:tc>
          <w:tcPr>
            <w:tcW w:type="dxa" w:w="2422"/>
          </w:tcPr>
          <w:p>
            <w:pPr>
              <w:spacing w:line="240" w:lineRule="auto" w:before="0" w:after="0"/>
              <w:ind w:firstLine="0"/>
            </w:pPr>
            <w:r>
              <w:rPr>
                <w:rFonts w:ascii="Liberation Serif" w:hAnsi="Liberation Serif"/>
                <w:sz w:val="24"/>
              </w:rPr>
              <w:t>Инвестиционное проектирование</w:t>
            </w:r>
          </w:p>
        </w:tc>
      </w:tr>
      <w:tr>
        <w:tc>
          <w:tcPr>
            <w:tcW w:type="dxa" w:w="2422"/>
          </w:tcPr>
          <w:p>
            <w:pPr>
              <w:spacing w:line="240" w:lineRule="auto" w:before="0" w:after="0"/>
              <w:ind w:firstLine="0"/>
            </w:pPr>
            <w:r>
              <w:rPr>
                <w:rFonts w:ascii="Liberation Serif" w:hAnsi="Liberation Serif"/>
                <w:sz w:val="24"/>
              </w:rPr>
              <w:t>Автоматическое построение P&amp;L, Cash Flow, баланса</w:t>
            </w:r>
          </w:p>
        </w:tc>
        <w:tc>
          <w:tcPr>
            <w:tcW w:type="dxa" w:w="2422"/>
          </w:tcPr>
          <w:p>
            <w:pPr>
              <w:spacing w:line="240" w:lineRule="auto" w:before="0" w:after="0"/>
              <w:ind w:firstLine="0"/>
            </w:pPr>
            <w:r>
              <w:rPr>
                <w:rFonts w:ascii="Liberation Serif" w:hAnsi="Liberation Serif"/>
                <w:sz w:val="24"/>
              </w:rPr>
              <w:t>Нет, требует ручной настройки</w:t>
            </w:r>
          </w:p>
        </w:tc>
        <w:tc>
          <w:tcPr>
            <w:tcW w:type="dxa" w:w="2422"/>
          </w:tcPr>
          <w:p>
            <w:pPr>
              <w:spacing w:line="240" w:lineRule="auto" w:before="0" w:after="0"/>
              <w:ind w:firstLine="0"/>
            </w:pPr>
            <w:r>
              <w:rPr>
                <w:rFonts w:ascii="Liberation Serif" w:hAnsi="Liberation Serif"/>
                <w:sz w:val="24"/>
              </w:rPr>
              <w:t>Частично</w:t>
            </w:r>
          </w:p>
        </w:tc>
        <w:tc>
          <w:tcPr>
            <w:tcW w:type="dxa" w:w="2422"/>
          </w:tcPr>
          <w:p>
            <w:pPr>
              <w:spacing w:line="240" w:lineRule="auto" w:before="0" w:after="0"/>
              <w:ind w:firstLine="0"/>
            </w:pPr>
            <w:r>
              <w:rPr>
                <w:rFonts w:ascii="Liberation Serif" w:hAnsi="Liberation Serif"/>
                <w:sz w:val="24"/>
              </w:rPr>
              <w:t>Да, автоматически</w:t>
            </w:r>
          </w:p>
        </w:tc>
      </w:tr>
      <w:tr>
        <w:tc>
          <w:tcPr>
            <w:tcW w:type="dxa" w:w="2422"/>
          </w:tcPr>
          <w:p>
            <w:pPr>
              <w:spacing w:line="240" w:lineRule="auto" w:before="0" w:after="0"/>
              <w:ind w:firstLine="0"/>
            </w:pPr>
            <w:r>
              <w:rPr>
                <w:rFonts w:ascii="Liberation Serif" w:hAnsi="Liberation Serif"/>
                <w:sz w:val="24"/>
              </w:rPr>
              <w:t>Расчёт NPV, IRR, PI, DPP</w:t>
            </w:r>
          </w:p>
        </w:tc>
        <w:tc>
          <w:tcPr>
            <w:tcW w:type="dxa" w:w="2422"/>
          </w:tcPr>
          <w:p>
            <w:pPr>
              <w:spacing w:line="240" w:lineRule="auto" w:before="0" w:after="0"/>
              <w:ind w:firstLine="0"/>
            </w:pPr>
            <w:r>
              <w:rPr>
                <w:rFonts w:ascii="Liberation Serif" w:hAnsi="Liberation Serif"/>
                <w:sz w:val="24"/>
              </w:rPr>
              <w:t>Встроенные функции, требует знания формул</w:t>
            </w:r>
          </w:p>
        </w:tc>
        <w:tc>
          <w:tcPr>
            <w:tcW w:type="dxa" w:w="2422"/>
          </w:tcPr>
          <w:p>
            <w:pPr>
              <w:spacing w:line="240" w:lineRule="auto" w:before="0" w:after="0"/>
              <w:ind w:firstLine="0"/>
            </w:pPr>
            <w:r>
              <w:rPr>
                <w:rFonts w:ascii="Liberation Serif" w:hAnsi="Liberation Serif"/>
                <w:sz w:val="24"/>
              </w:rPr>
              <w:t>Встроенные модули</w:t>
            </w:r>
          </w:p>
        </w:tc>
        <w:tc>
          <w:tcPr>
            <w:tcW w:type="dxa" w:w="2422"/>
          </w:tcPr>
          <w:p>
            <w:pPr>
              <w:spacing w:line="240" w:lineRule="auto" w:before="0" w:after="0"/>
              <w:ind w:firstLine="0"/>
            </w:pPr>
            <w:r>
              <w:rPr>
                <w:rFonts w:ascii="Liberation Serif" w:hAnsi="Liberation Serif"/>
                <w:sz w:val="24"/>
              </w:rPr>
              <w:t>Автоматический расчёт</w:t>
            </w:r>
          </w:p>
        </w:tc>
      </w:tr>
      <w:tr>
        <w:tc>
          <w:tcPr>
            <w:tcW w:type="dxa" w:w="2422"/>
          </w:tcPr>
          <w:p>
            <w:pPr>
              <w:spacing w:line="240" w:lineRule="auto" w:before="0" w:after="0"/>
              <w:ind w:firstLine="0"/>
            </w:pPr>
            <w:r>
              <w:rPr>
                <w:rFonts w:ascii="Liberation Serif" w:hAnsi="Liberation Serif"/>
                <w:sz w:val="24"/>
              </w:rPr>
              <w:t>Сценарный анализ и анализ чувствительности</w:t>
            </w:r>
          </w:p>
        </w:tc>
        <w:tc>
          <w:tcPr>
            <w:tcW w:type="dxa" w:w="2422"/>
          </w:tcPr>
          <w:p>
            <w:pPr>
              <w:spacing w:line="240" w:lineRule="auto" w:before="0" w:after="0"/>
              <w:ind w:firstLine="0"/>
            </w:pPr>
            <w:r>
              <w:rPr>
                <w:rFonts w:ascii="Liberation Serif" w:hAnsi="Liberation Serif"/>
                <w:sz w:val="24"/>
              </w:rPr>
              <w:t>Вручную через копирование листов</w:t>
            </w:r>
          </w:p>
        </w:tc>
        <w:tc>
          <w:tcPr>
            <w:tcW w:type="dxa" w:w="2422"/>
          </w:tcPr>
          <w:p>
            <w:pPr>
              <w:spacing w:line="240" w:lineRule="auto" w:before="0" w:after="0"/>
              <w:ind w:firstLine="0"/>
            </w:pPr>
            <w:r>
              <w:rPr>
                <w:rFonts w:ascii="Liberation Serif" w:hAnsi="Liberation Serif"/>
                <w:sz w:val="24"/>
              </w:rPr>
              <w:t>Ограниченный модуль</w:t>
            </w:r>
          </w:p>
        </w:tc>
        <w:tc>
          <w:tcPr>
            <w:tcW w:type="dxa" w:w="2422"/>
          </w:tcPr>
          <w:p>
            <w:pPr>
              <w:spacing w:line="240" w:lineRule="auto" w:before="0" w:after="0"/>
              <w:ind w:firstLine="0"/>
            </w:pPr>
            <w:r>
              <w:rPr>
                <w:rFonts w:ascii="Liberation Serif" w:hAnsi="Liberation Serif"/>
                <w:sz w:val="24"/>
              </w:rPr>
              <w:t>Встроенный модуль «What-if»</w:t>
            </w:r>
          </w:p>
        </w:tc>
      </w:tr>
      <w:tr>
        <w:tc>
          <w:tcPr>
            <w:tcW w:type="dxa" w:w="2422"/>
          </w:tcPr>
          <w:p>
            <w:pPr>
              <w:spacing w:line="240" w:lineRule="auto" w:before="0" w:after="0"/>
              <w:ind w:firstLine="0"/>
            </w:pPr>
            <w:r>
              <w:rPr>
                <w:rFonts w:ascii="Liberation Serif" w:hAnsi="Liberation Serif"/>
                <w:sz w:val="24"/>
              </w:rPr>
              <w:t>Риск арифметической ошибки</w:t>
            </w:r>
          </w:p>
        </w:tc>
        <w:tc>
          <w:tcPr>
            <w:tcW w:type="dxa" w:w="2422"/>
          </w:tcPr>
          <w:p>
            <w:pPr>
              <w:spacing w:line="240" w:lineRule="auto" w:before="0" w:after="0"/>
              <w:ind w:firstLine="0"/>
            </w:pPr>
            <w:r>
              <w:rPr>
                <w:rFonts w:ascii="Liberation Serif" w:hAnsi="Liberation Serif"/>
                <w:sz w:val="24"/>
              </w:rPr>
              <w:t>Высокий</w:t>
            </w:r>
          </w:p>
        </w:tc>
        <w:tc>
          <w:tcPr>
            <w:tcW w:type="dxa" w:w="2422"/>
          </w:tcPr>
          <w:p>
            <w:pPr>
              <w:spacing w:line="240" w:lineRule="auto" w:before="0" w:after="0"/>
              <w:ind w:firstLine="0"/>
            </w:pPr>
            <w:r>
              <w:rPr>
                <w:rFonts w:ascii="Liberation Serif" w:hAnsi="Liberation Serif"/>
                <w:sz w:val="24"/>
              </w:rPr>
              <w:t>Средний</w:t>
            </w:r>
          </w:p>
        </w:tc>
        <w:tc>
          <w:tcPr>
            <w:tcW w:type="dxa" w:w="2422"/>
          </w:tcPr>
          <w:p>
            <w:pPr>
              <w:spacing w:line="240" w:lineRule="auto" w:before="0" w:after="0"/>
              <w:ind w:firstLine="0"/>
            </w:pPr>
            <w:r>
              <w:rPr>
                <w:rFonts w:ascii="Liberation Serif" w:hAnsi="Liberation Serif"/>
                <w:sz w:val="24"/>
              </w:rPr>
              <w:t>Минимальный</w:t>
            </w:r>
          </w:p>
        </w:tc>
      </w:tr>
      <w:tr>
        <w:tc>
          <w:tcPr>
            <w:tcW w:type="dxa" w:w="2422"/>
          </w:tcPr>
          <w:p>
            <w:pPr>
              <w:spacing w:line="240" w:lineRule="auto" w:before="0" w:after="0"/>
              <w:ind w:firstLine="0"/>
            </w:pPr>
            <w:r>
              <w:rPr>
                <w:rFonts w:ascii="Liberation Serif" w:hAnsi="Liberation Serif"/>
                <w:sz w:val="24"/>
              </w:rPr>
              <w:t>Интерфейс ввода данных</w:t>
            </w:r>
          </w:p>
        </w:tc>
        <w:tc>
          <w:tcPr>
            <w:tcW w:type="dxa" w:w="2422"/>
          </w:tcPr>
          <w:p>
            <w:pPr>
              <w:spacing w:line="240" w:lineRule="auto" w:before="0" w:after="0"/>
              <w:ind w:firstLine="0"/>
            </w:pPr>
            <w:r>
              <w:rPr>
                <w:rFonts w:ascii="Liberation Serif" w:hAnsi="Liberation Serif"/>
                <w:sz w:val="24"/>
              </w:rPr>
              <w:t>Плоская таблица</w:t>
            </w:r>
          </w:p>
        </w:tc>
        <w:tc>
          <w:tcPr>
            <w:tcW w:type="dxa" w:w="2422"/>
          </w:tcPr>
          <w:p>
            <w:pPr>
              <w:spacing w:line="240" w:lineRule="auto" w:before="0" w:after="0"/>
              <w:ind w:firstLine="0"/>
            </w:pPr>
            <w:r>
              <w:rPr>
                <w:rFonts w:ascii="Liberation Serif" w:hAnsi="Liberation Serif"/>
                <w:sz w:val="24"/>
              </w:rPr>
              <w:t>Таблица с макросами</w:t>
            </w:r>
          </w:p>
        </w:tc>
        <w:tc>
          <w:tcPr>
            <w:tcW w:type="dxa" w:w="2422"/>
          </w:tcPr>
          <w:p>
            <w:pPr>
              <w:spacing w:line="240" w:lineRule="auto" w:before="0" w:after="0"/>
              <w:ind w:firstLine="0"/>
            </w:pPr>
            <w:r>
              <w:rPr>
                <w:rFonts w:ascii="Liberation Serif" w:hAnsi="Liberation Serif"/>
                <w:sz w:val="24"/>
              </w:rPr>
              <w:t>Структурированные формы по UNIDO</w:t>
            </w:r>
          </w:p>
        </w:tc>
      </w:tr>
      <w:tr>
        <w:tc>
          <w:tcPr>
            <w:tcW w:type="dxa" w:w="2422"/>
          </w:tcPr>
          <w:p>
            <w:pPr>
              <w:spacing w:line="240" w:lineRule="auto" w:before="0" w:after="0"/>
              <w:ind w:firstLine="0"/>
            </w:pPr>
            <w:r>
              <w:rPr>
                <w:rFonts w:ascii="Liberation Serif" w:hAnsi="Liberation Serif"/>
                <w:sz w:val="24"/>
              </w:rPr>
              <w:t>Применимость для малого предприятия</w:t>
            </w:r>
          </w:p>
        </w:tc>
        <w:tc>
          <w:tcPr>
            <w:tcW w:type="dxa" w:w="2422"/>
          </w:tcPr>
          <w:p>
            <w:pPr>
              <w:spacing w:line="240" w:lineRule="auto" w:before="0" w:after="0"/>
              <w:ind w:firstLine="0"/>
            </w:pPr>
            <w:r>
              <w:rPr>
                <w:rFonts w:ascii="Liberation Serif" w:hAnsi="Liberation Serif"/>
                <w:sz w:val="24"/>
              </w:rPr>
              <w:t>Высокая, но с риском ошибок</w:t>
            </w:r>
          </w:p>
        </w:tc>
        <w:tc>
          <w:tcPr>
            <w:tcW w:type="dxa" w:w="2422"/>
          </w:tcPr>
          <w:p>
            <w:pPr>
              <w:spacing w:line="240" w:lineRule="auto" w:before="0" w:after="0"/>
              <w:ind w:firstLine="0"/>
            </w:pPr>
            <w:r>
              <w:rPr>
                <w:rFonts w:ascii="Liberation Serif" w:hAnsi="Liberation Serif"/>
                <w:sz w:val="24"/>
              </w:rPr>
              <w:t>Избыточный функционал</w:t>
            </w:r>
          </w:p>
        </w:tc>
        <w:tc>
          <w:tcPr>
            <w:tcW w:type="dxa" w:w="2422"/>
          </w:tcPr>
          <w:p>
            <w:pPr>
              <w:spacing w:line="240" w:lineRule="auto" w:before="0" w:after="0"/>
              <w:ind w:firstLine="0"/>
            </w:pPr>
            <w:r>
              <w:rPr>
                <w:rFonts w:ascii="Liberation Serif" w:hAnsi="Liberation Serif"/>
                <w:sz w:val="24"/>
              </w:rPr>
              <w:t>Оптимальная</w:t>
            </w:r>
          </w:p>
        </w:tc>
      </w:tr>
    </w:tbl>
    <w:p>
      <w:r>
        <w:t>Для целей выполнения настоящей выпускной квалификационной работы выбрана старшая редакция Project Expert 6 Holding. В отличие от базовых версий Standard и Professional, версия Holding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субпроектов,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r>
        <w:t>Структура Project Expert 6 Holding включает шесть основных разделов, соответствующих логике разработки бизнес-плана по стандарту UNIDO: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r>
        <w:t>Особую аналитическую ценность представляет модуль «Анализ чувствительности» (Sensitivity Analysis, What-if),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Liberation Serif" w:hAnsi="Liberation Serif" w:cs="Liberation Serif"/>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40" w:line="360" w:lineRule="auto"/>
      <w:ind w:firstLine="0"/>
      <w:jc w:val="center"/>
      <w:outlineLvl w:val="0"/>
    </w:pPr>
    <w:rPr>
      <w:rFonts w:asciiTheme="majorHAnsi" w:eastAsiaTheme="majorEastAsia" w:hAnsiTheme="majorHAnsi" w:cstheme="majorBidi" w:ascii="Liberation Serif" w:hAnsi="Liberation Serif" w:cs="Liberation Serif"/>
      <w:b/>
      <w:bC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240" w:line="360" w:lineRule="auto"/>
      <w:ind w:firstLine="0"/>
      <w:jc w:val="center"/>
      <w:outlineLvl w:val="1"/>
    </w:pPr>
    <w:rPr>
      <w:rFonts w:asciiTheme="majorHAnsi" w:eastAsiaTheme="majorEastAsia" w:hAnsiTheme="majorHAnsi" w:cstheme="majorBidi" w:ascii="Liberation Serif" w:hAnsi="Liberation Serif" w:cs="Liberation Serif"/>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pPr>
      <w:spacing w:line="240" w:lineRule="auto" w:before="240" w:after="120"/>
      <w:ind w:firstLine="0"/>
      <w:jc w:val="right"/>
    </w:pPr>
    <w:rPr>
      <w:rFonts w:ascii="Liberation Serif" w:hAnsi="Liberation Serif"/>
      <w:sz w:val="24"/>
    </w:rPr>
  </w:style>
  <w:style w:type="paragraph" w:customStyle="1" w:styleId="FigureCaption">
    <w:name w:val="FigureCaption"/>
    <w:pPr>
      <w:spacing w:line="240" w:lineRule="auto" w:before="120" w:after="240"/>
      <w:ind w:firstLine="0"/>
      <w:jc w:val="center"/>
    </w:pPr>
    <w:rPr>
      <w:rFonts w:ascii="Liberation Serif" w:hAnsi="Liberation Serif"/>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