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Проектная часть</w:t>
      </w:r>
    </w:p>
    <w:p>
      <w:r>
        <w:t>Сформулировав концепцию инвестиционного проекта, обосновав его экономическую целесообразность и определив ключевые критерии для оценки эффективности, следующим шагом становится сбор и систематизация всей необходимой статистической и финансовой информации. Эти данные используются для полноценной подготовки и реализации инвестиционного плана, становясь фундаментом для дальнейшего анализа и принятия решений. В представленной выпускной квалификационной работе была собрана и систематизирована информация для конкретного проекта — создания малого производственного предприятия ООО «СигналПром» по выпуску комбинированных дымо-тепловых пожарных извещателей в городе Рязани.</w:t>
      </w:r>
    </w:p>
    <w:p>
      <w:pPr>
        <w:pStyle w:val="Heading2"/>
      </w:pPr>
      <w:r>
        <w:t>3.1 Исходные данные</w:t>
      </w:r>
    </w:p>
    <w:p>
      <w:pPr>
        <w:pStyle w:val="Heading3"/>
      </w:pPr>
      <w:r>
        <w:t>3.1.1 Характеристика предприятия</w:t>
      </w:r>
    </w:p>
    <w:p>
      <w:r>
        <w:t>ООО «СигналПром» — малое производственное предприятие, специализирующееся на сборке, программировании, метрологическом тестировании и сертификации комбинированных дымо-тепловых пожарных извещателей. Предприятие применяет модель гибридной автоматизации: капиталоёмкие операции поверхностного SMT-монтажа печатных плат и литья пластиковых корпусов передаются на контрактное производство, а на собственной площадке выполняются операции с наивысшей добавленной стоимостью — финишная сборка, прошивка микроконтроллеров и 100% автоматизированное тестирование каждого изделия на комбинированном стенде.</w:t>
      </w:r>
    </w:p>
    <w:p>
      <w:r>
        <w:t>Организационно-правовая форма — общество с ограниченной ответственностью (ООО). Применяемый налоговый режим — упрощённая система налогообложения (УСН) с объектом «доходы минус расходы» по ставке 15%. Выбор данного режима обусловлен значительной долей материальных затрат в структуре расходов предприятия (закупка печатных плат, электронных компонентов, корпусов), что делает доходно-расходную схему существенно выгоднее схемы «доходы 6%».</w:t>
      </w:r>
    </w:p>
    <w:p>
      <w:r>
        <w:t>Организационная структура предприятия является линейной и минимально-иерархичной, что соответствует формату микропредприятия. Штатное расписание включает пять должностей:</w:t>
      </w:r>
    </w:p>
    <w:p>
      <w:pPr>
        <w:ind w:firstLine="709"/>
      </w:pPr>
      <w:r>
        <w:t>– Директор (стратегическое управление, финансовое планирование, сбыт и работа с клиентами) — 70 000 руб./мес.;</w:t>
      </w:r>
    </w:p>
    <w:p>
      <w:pPr>
        <w:ind w:firstLine="709"/>
      </w:pPr>
      <w:r>
        <w:t>– Главный инженер (техническое руководство, разработка микрокода, настройка стендов, взаимодействие с контрактными производителями) — 100 000 руб./мес.;</w:t>
      </w:r>
    </w:p>
    <w:p>
      <w:pPr>
        <w:ind w:firstLine="709"/>
      </w:pPr>
      <w:r>
        <w:t>– Техник ОТК (управление автоматизированным стендом «СИ-ТДК», проведение приёмо-сдаточных испытаний, ведение протоколов MES) — 60 000 руб./мес.;</w:t>
      </w:r>
    </w:p>
    <w:p>
      <w:pPr>
        <w:ind w:firstLine="709"/>
      </w:pPr>
      <w:r>
        <w:t>– Сборщик РЭА №1 (ручная пайка выводных компонентов, механическая сборка корпуса, прошивка МК) — 70 000 руб./мес.;</w:t>
      </w:r>
    </w:p>
    <w:p>
      <w:pPr>
        <w:ind w:firstLine="709"/>
      </w:pPr>
      <w:r>
        <w:t>– Сборщик РЭА №2 (аналогичные функции) — 70 000 руб./мес.</w:t>
      </w:r>
    </w:p>
    <w:p>
      <w:r>
        <w:t>Совокупный фонд оплаты труда составляет 370 000 рублей в месяц («на руки»). С учётом страховых взносов по ставке 30% (в соответствии с налоговой реформой 2026 года) полная стоимость персонала для предприятия составляет 455 100 рублей в месяц. Бухгалтерское обслуживание передаётся на аутсорсинг специализированной организации (ориентировочно 15 000–20 000 рублей в месяц).</w:t>
      </w:r>
    </w:p>
    <w:p>
      <w:pPr>
        <w:pStyle w:val="Heading3"/>
      </w:pPr>
      <w:r>
        <w:t>3.1.2 Месторасположение предприятия</w:t>
      </w:r>
    </w:p>
    <w:p>
      <w:r>
        <w:t>Для размещения производства выбрано капитальное нежилое помещение по адресу: г. Рязань, ул. Радиозаводская, д. 2 (Советский район). Данная локация расположена в исторически сложившейся промышленной зоне города, вблизи крупных предприятий радиоэлектронной отрасли, что обеспечивает удобную транспортную логистику и доступ к квалифицированным кадрам.</w:t>
      </w:r>
    </w:p>
    <w:p>
      <w:r>
        <w:t>Арендуемое помещение имеет общую площадь 142,5 квадратных метра и относится к формату Light Industrial — производственный цех с высокими потолками, капитальными стенами, центральным отоплением, водоснабжением и санитарным узлом. Арендная ставка составляет 350 рублей за квадратный метр в месяц, что в совокупности даёт ежемесячный арендный платёж 49 875 рублей. Дополнительные расходы на коммунальные услуги (электроэнергия, водоснабжение, вывоз ТБО) и корпоративный интернет составляют 22 000 рублей в месяц.</w:t>
      </w:r>
    </w:p>
    <w:p>
      <w:r>
        <w:t>Увеличенная площадь (142,5 м² вместо первоначально запланированных 100 м²) позволяет организовать комфортное технологическое зонирование с учётом требований ESD-защиты (ГОСТ IEC 61340-5-1-2019) и санитарных норм (СанПиН 2.2.4.3359-16). На площади предприятия организованы следующие функциональные зоны:</w:t>
      </w:r>
    </w:p>
    <w:p>
      <w:pPr>
        <w:ind w:firstLine="709"/>
      </w:pPr>
      <w:r>
        <w:t>– Склад комплектующих и зона входного контроля (ВТК) — 20 м². Контролируемая температура и влажность, стеллажное хранение, визуальный осмотр партий от «Электроконнект» и поставщиков ЭКБ.</w:t>
      </w:r>
    </w:p>
    <w:p>
      <w:pPr>
        <w:ind w:firstLine="709"/>
      </w:pPr>
      <w:r>
        <w:t>– Зона ручного монтажа и сборки — 40 м². Три антистатических рабочих места, оснащённых индукционными паяльными станциями Quick 203H ESD, дымоуловителями DUET FE-250-2-А и бестеневыми лампами-лупами.</w:t>
      </w:r>
    </w:p>
    <w:p>
      <w:pPr>
        <w:ind w:firstLine="709"/>
      </w:pPr>
      <w:r>
        <w:t>– Зона автоматизированного тестирования (ОТК) — 40 м². Комбинированный стенд «СИ-ТДК» для функциональных испытаний дымового и теплового каналов. Климатическая камера «Тепло-Влага ПРО КТВ 0/130-120 silent» для квалификационных испытаний.</w:t>
      </w:r>
    </w:p>
    <w:p>
      <w:pPr>
        <w:ind w:firstLine="709"/>
      </w:pPr>
      <w:r>
        <w:t>– Зона маркировки, упаковки и склад готовой продукции — 25 м². Термотрансферный принтер Godex RT230 для нанесения серийных номеров и DataMatrix-кодов.</w:t>
      </w:r>
    </w:p>
    <w:p>
      <w:pPr>
        <w:ind w:firstLine="709"/>
      </w:pPr>
      <w:r>
        <w:t>– Административно-бытовая зона — 17,5 м². Рабочее место директора, раздевалка, санузел.</w:t>
      </w:r>
    </w:p>
    <w:p>
      <w:pPr>
        <w:pStyle w:val="Heading3"/>
      </w:pPr>
      <w:r>
        <w:t>3.1.3 Приборы и оборудование</w:t>
      </w:r>
    </w:p>
    <w:p>
      <w:r>
        <w:t>Бюджет капитальных вложений (CAPEX) предприятия структурирован по функциональным группам оборудования. Сводная смета представлена в таблице 7.</w:t>
      </w:r>
    </w:p>
    <w:p>
      <w:pPr>
        <w:pStyle w:val="TableCaption"/>
      </w:pPr>
      <w:r>
        <w:t>Таблица 7 – Бюджет капитальных вложений (CAPEX) предприятия ООО «СигналПром»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Наименование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Кол-во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Цена за ед., руб.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Сумма, руб.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Стенд комбинированный «СИ-ТДК» (функциональные испытания дымовых и тепловых извещателей)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2 407 500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2 407 500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Климатическая камера «Тепло-Влага ПРО КТВ 0/130-120 silent» (квалификационные испытания)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505 575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505 575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Паяльная станция индукционная Quick 203H ESD Lead Free (90 Вт)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17 200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51 600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Дымоуловитель DUET FE-250-2-А (блок на 1-2 рабочих места)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52 500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105 000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Принтер этикеток термотрансферный Godex RT230 (300 dpi, Ethernet)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25 198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25 198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Пресс-форма для литья пластикового корпуса извещателя (ABS)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500 000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500 000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7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Ремонт помещения, монтаж ESD-полов, контур заземления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450 000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450 000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8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Антистатическая мебель (столы, стулья, стеллажи, кассетницы)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250 000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250 000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9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АРМ программатора (ПК + ST-Link V3 + монитор) × 2 шт.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85 000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170 000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Сертификация продукции по ТР ЕАЭС 043/2017 (лабораторные испытания)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150 000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150 000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Прочее (вентиляция, освещение, противопожарное оборудование, инструмент)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180 000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180 000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ИТОГО CAPEX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4 974 482</w:t>
            </w:r>
          </w:p>
        </w:tc>
      </w:tr>
    </w:tbl>
    <w:p>
      <w:r>
        <w:t>Ключевым элементом капитальных затрат является комбинированный стенд «СИ-ТДК», предназначенный для проведения функциональных испытаний, испытаний по устойчивости к повышенной температуре и изменению напряжений питания извещателей пожарных тепловых точечных, тепловых линейных и дымовых оптико-электронных точечных. Стоимость стенда составляет 2 407 500 рублей, что формирует 50,2% совокупного бюджета CAPEX. Данная инвестиция обеспечивает предприятию возможность проведения 100% автоматизированного выходного контроля качества каждого изделия — ключевого конкурентного преимущества проекта.</w:t>
      </w:r>
    </w:p>
    <w:p>
      <w:r>
        <w:t>Климатическая камера «Тепло-Влага ПРО КТВ 0/130-120 silent» стоимостью 505 575 рублей предназначена для проведения расширенных квалификационных (типовых) испытаний продукции в условиях повышенной влажности и перепадов температур, что является обязательным требованием при сертификации по ТР ЕАЭС 043/2017 и ГОСТ Р 53325-2024.</w:t>
      </w:r>
    </w:p>
    <w:p>
      <w:r>
        <w:t>Индукционные паяльные станции Quick 203H ESD (3 единицы по 17 200 рублей) обеспечивают сверхбыстрый нагрев жала за 20–25 секунд и прецизионное поддержание температуры (±2 °C) в диапазоне 50–600 °C за счёт высокочастотного индукционного принципа. Каждая станция комплектуется дымоуловителем DUET FE-250-2-А российского производства (52 500 рублей), обеспечивающим глубину очистки воздуха от токсичных аэрозолей флюса на уровне 99,995% при производительности до 200 м³/час.</w:t>
      </w:r>
    </w:p>
    <w:p>
      <w:r>
        <w:t>Инвестиции в пресс-форму для литья пластикового корпуса извещателя (500 000 рублей)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производстве. Пресс-форма размещается на контрактном литьевом производстве; изготовленные корпуса поставляются партиями.</w:t>
      </w:r>
    </w:p>
    <w:p>
      <w:pPr>
        <w:pStyle w:val="Heading3"/>
      </w:pPr>
      <w:r>
        <w:t>3.1.4 Номенклатура продукции</w:t>
      </w:r>
    </w:p>
    <w:p>
      <w:r>
        <w:t>Номенклатура выпускаемой продукции включает два основных товарных наименования и сопутствующие услуги:</w:t>
      </w:r>
    </w:p>
    <w:p>
      <w:pPr>
        <w:ind w:firstLine="709"/>
      </w:pPr>
      <w:r>
        <w:t>– Извещатель пожарный комбинированный дымо-тепловой — основное изделие предприятия. Объединяет оптико-электронный дымовой канал (ИК-излучатель Kingbright L-34F3C + фототранзистор Lite-On LTR-301, рабочая длина волны 940 нм) и максимально-дифференциальный тепловой канал (NTC-термистор Murata NCP18XH103F03RB, 10 кОм, допуск 1%). Вычислительное ядро — микроконтроллер WCH CH32V003F4P6 (архитектура RISC-V, 48 МГц). Отпускная оптовая цена — 1 800 рублей.</w:t>
      </w:r>
    </w:p>
    <w:p>
      <w:pPr>
        <w:ind w:firstLine="709"/>
      </w:pPr>
      <w:r>
        <w:t>– Монтажная база с интегрированным изолятором короткого замыкания — обязательный элемент адресной системы (в соответствии с Изменением №1 к СП 484.1311500.2020). Отпускная оптовая цена — 350 рублей.</w:t>
      </w:r>
    </w:p>
    <w:p>
      <w:pPr>
        <w:ind w:firstLine="709"/>
      </w:pPr>
      <w:r>
        <w:t>– Услуги пусконаладки и шефмонтажа — техническое сопровождение монтажных организаций при вводе системы в эксплуатацию. Ориентировочная стоимость — 5 000 рублей за один объект.</w:t>
      </w:r>
    </w:p>
    <w:p>
      <w:r>
        <w:t>Себестоимость производства одного комбинированного извещателя складывается из прямых материальных затрат. Структура себестоимости представлена в таблице 8.</w:t>
      </w:r>
    </w:p>
    <w:p>
      <w:pPr>
        <w:pStyle w:val="TableCaption"/>
      </w:pPr>
      <w:r>
        <w:t>Таблица 8 – Структура прямой себестоимости одного комбинированного извещателя (BOM)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Поставщик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Цена за ед., руб.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Печатная плата ДПП 50×50 мм (FR-4) + SMT-монтаж 50 точек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ООО «Электроконнект»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175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Пластиковый корпус (ABS, собственная пресс-форма)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Контрактное литьё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Микроконтроллер WCH CH32V003F4P6 (RISC-V, TSSOP-20)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ЧИП и ДИП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23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Термистор NTC Murata NCP18XH103F03RB (10 кОм, 0603)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ЧИП и ДИП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6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ИК-излучатель Kingbright L-34F3C (3 мм, 940 нм)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ЧИП и ДИП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16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Фототранзистор Lite-On LTR-301 (940 нм, угол 20°)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ЧИП и ДИП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Пассивные компоненты (резисторы, конденсаторы, ~20 шт.)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Компэл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Разъёмы, светодиод индикации, кнопка тест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ЧИП и ДИП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15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Расходные материалы (припой ПОС-61, флюс, изопропанол)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25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Упаковка (индивидуальная коробка, инструкция, этикетка)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ИТОГО прямая себестоимость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382</w:t>
            </w:r>
          </w:p>
        </w:tc>
      </w:tr>
    </w:tbl>
    <w:p>
      <w:r>
        <w:t>Маржинальная прибыль на одно изделие при отпускной цене 1 800 рублей составляет 1 418 рублей (79%). Высокая маржинальность обеспечивается стратегическим выбором архитектуры RISC-V (микроконтроллер WCH CH32V003 стоимостью 23 рубля вместо западного STM32 стоимостью 84 рубля), передачей SMT-монтажа на контрактное производство «Электроконнект» по конкурентоспособным тарифам (1,50 рубля за точку пайки) и наличием собственной пресс-формы для литья корпусов.</w:t>
      </w:r>
    </w:p>
    <w:p>
      <w:pPr>
        <w:pStyle w:val="TableCaption"/>
      </w:pPr>
      <w:r>
        <w:t>Таблица 9 – Источники финансирования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Источник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Сумма, руб.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Условия</w:t>
            </w:r>
          </w:p>
        </w:tc>
      </w:tr>
      <w:tr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Собственные средства учредителей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3 000 000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Взнос в уставный капитал</w:t>
            </w:r>
          </w:p>
        </w:tc>
      </w:tr>
      <w:tr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Кредит МСП (банковский)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2 000 000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12% годовых, 36 мес., аннуитетные платежи</w:t>
            </w:r>
          </w:p>
        </w:tc>
      </w:tr>
      <w:tr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5 000 000</w:t>
            </w:r>
          </w:p>
        </w:tc>
        <w:tc>
          <w:tcPr>
            <w:tcW w:type="dxa" w:w="3230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—</w:t>
            </w:r>
          </w:p>
        </w:tc>
      </w:tr>
    </w:tbl>
    <w:p>
      <w:r>
        <w:t>Совокупная потребность в финансировании составляет 5 000 000 рублей, из которых 4 974 482 рубля направляются на капитальные вложения (CAPEX), а остаток (~205 000 рублей) формирует начальный оборотный капитал для закупки первой партии комплектующих. Кредит МСП привлекается на стандартных условиях программы поддержки малого и среднего предпринимательства: ставка 12% годовых, срок 36 месяцев, аннуитетные (равные ежемесячные) платежи. Расчётный ежемесячный платёж по кредиту составляет приблизительно 66 400 рублей.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line="240" w:lineRule="auto" w:before="240" w:after="120"/>
      <w:ind w:firstLine="0"/>
      <w:jc w:val="right"/>
    </w:pPr>
    <w:rPr>
      <w:rFonts w:ascii="Liberation Serif" w:hAnsi="Liberation Seri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