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E18F0" w14:textId="77777777" w:rsidR="001F7619" w:rsidRPr="00BE6C3C" w:rsidRDefault="00474AB9">
      <w:pPr>
        <w:pStyle w:val="21"/>
        <w:rPr>
          <w:lang w:val="ru-RU"/>
        </w:rPr>
      </w:pPr>
      <w:r w:rsidRPr="00BE6C3C">
        <w:rPr>
          <w:lang w:val="ru-RU"/>
        </w:rPr>
        <w:t xml:space="preserve">3.4 Внесение данных в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</w:p>
    <w:p w14:paraId="72CF668F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В данной выпускной квалификационной работе финансовое моделирование инвестиционного проекта осуществляется с использованием специализированной программы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6 </w:t>
      </w:r>
      <w:r>
        <w:t>Holding</w:t>
      </w:r>
      <w:r w:rsidRPr="00BE6C3C">
        <w:rPr>
          <w:lang w:val="ru-RU"/>
        </w:rPr>
        <w:t xml:space="preserve">. Программа обладает логичным и </w:t>
      </w:r>
      <w:r w:rsidRPr="00BE6C3C">
        <w:rPr>
          <w:lang w:val="ru-RU"/>
        </w:rPr>
        <w:t>удобным интерфейсом, состоящим из тематических разделов, каждый из которых соответствует определённой стадии разработки и оценки проекта. Ввод информации происходит посредством интерактивных форм с разветвлённой системой полей и параметров.</w:t>
      </w:r>
    </w:p>
    <w:p w14:paraId="199E5EB5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Все аналитическ</w:t>
      </w:r>
      <w:r w:rsidRPr="00BE6C3C">
        <w:rPr>
          <w:lang w:val="ru-RU"/>
        </w:rPr>
        <w:t xml:space="preserve">ие отчёты и прогнозы формируются на основе загруженных в систему исходных данных. Для комплексного бизнес-планирования в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требуется последовательное выполнение следующих действий:</w:t>
      </w:r>
    </w:p>
    <w:p w14:paraId="6BA408D0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– заполнение основных параметров проекта: настройка расчётных </w:t>
      </w:r>
      <w:r w:rsidRPr="00BE6C3C">
        <w:rPr>
          <w:lang w:val="ru-RU"/>
        </w:rPr>
        <w:t>модулей, указание номенклатуры продукции, установление единиц измерения и сроков выхода на рынок;</w:t>
      </w:r>
    </w:p>
    <w:p w14:paraId="0EF30336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формирование макроэкономических условий: выбор валютных курсов, определение процентных ставок, прогнозирование инфляции по основным статьям бюджета, а также</w:t>
      </w:r>
      <w:r w:rsidRPr="00BE6C3C">
        <w:rPr>
          <w:lang w:val="ru-RU"/>
        </w:rPr>
        <w:t xml:space="preserve"> учёт налогового режима;</w:t>
      </w:r>
    </w:p>
    <w:p w14:paraId="1BCED49C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построение графика реализации проекта с разбивкой на фазы, указанием их взаимозависимостей, регистрацией активов предприятия и способов их амортизации;</w:t>
      </w:r>
    </w:p>
    <w:p w14:paraId="68BF1BAB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формирование производственного плана с внесением информации о плановых объё</w:t>
      </w:r>
      <w:r w:rsidRPr="00BE6C3C">
        <w:rPr>
          <w:lang w:val="ru-RU"/>
        </w:rPr>
        <w:t>мах сбыта и операционных издержках;</w:t>
      </w:r>
    </w:p>
    <w:p w14:paraId="06955567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подготовка инвестиционного раздела с проработкой схем привлечения капитала и графиком погашения заёмных средств.</w:t>
      </w:r>
    </w:p>
    <w:p w14:paraId="29FA0193" w14:textId="77777777" w:rsidR="001F7619" w:rsidRPr="00BE6C3C" w:rsidRDefault="00474AB9">
      <w:pPr>
        <w:pStyle w:val="31"/>
        <w:rPr>
          <w:lang w:val="ru-RU"/>
        </w:rPr>
      </w:pPr>
      <w:r w:rsidRPr="00BE6C3C">
        <w:rPr>
          <w:lang w:val="ru-RU"/>
        </w:rPr>
        <w:lastRenderedPageBreak/>
        <w:t>3.4.1 Ввод данных</w:t>
      </w:r>
    </w:p>
    <w:p w14:paraId="771B1DDF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Исходные данные вносятся через функциональные модули, расположенные в разделе «Проект».</w:t>
      </w:r>
      <w:r w:rsidRPr="00BE6C3C">
        <w:rPr>
          <w:lang w:val="ru-RU"/>
        </w:rPr>
        <w:t xml:space="preserve"> В модуле «Заголовок» отображаются ключевые параметры проекта, указанные при его инициализации:</w:t>
      </w:r>
    </w:p>
    <w:p w14:paraId="6655DA10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название проекта – ООО «</w:t>
      </w:r>
      <w:proofErr w:type="spellStart"/>
      <w:r w:rsidRPr="00BE6C3C">
        <w:rPr>
          <w:lang w:val="ru-RU"/>
        </w:rPr>
        <w:t>СигналПром</w:t>
      </w:r>
      <w:proofErr w:type="spellEnd"/>
      <w:r w:rsidRPr="00BE6C3C">
        <w:rPr>
          <w:lang w:val="ru-RU"/>
        </w:rPr>
        <w:t>»;</w:t>
      </w:r>
    </w:p>
    <w:p w14:paraId="069B80F1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дата старта – 1 сентября 2026 года;</w:t>
      </w:r>
    </w:p>
    <w:p w14:paraId="16AE4AF6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срок реализации – 3 года (36 месяцев).</w:t>
      </w:r>
    </w:p>
    <w:p w14:paraId="02F5ADA7" w14:textId="77777777" w:rsidR="00BE6C3C" w:rsidRDefault="00BE6C3C">
      <w:pPr>
        <w:pStyle w:val="FC"/>
      </w:pPr>
      <w:r w:rsidRPr="00BE6C3C">
        <w:rPr>
          <w:rFonts w:cs="Liberation Serif"/>
          <w:color w:val="000000"/>
          <w:sz w:val="28"/>
        </w:rPr>
        <w:drawing>
          <wp:inline distT="0" distB="0" distL="0" distR="0" wp14:anchorId="7F6DBBF2" wp14:editId="2FD02674">
            <wp:extent cx="3896269" cy="330563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D53B" w14:textId="5F600D93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 xml:space="preserve">Рисунок </w:t>
      </w:r>
      <w:r w:rsidRPr="00BE6C3C">
        <w:rPr>
          <w:lang w:val="ru-RU"/>
        </w:rPr>
        <w:t>4 – Модуль «Заголовок проекта»</w:t>
      </w:r>
    </w:p>
    <w:p w14:paraId="0881E851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Модуль «Список продуктов» содержит перечень выпускаемой продукции и оказываемых услуг, запланированных к реализации на предприятии, а также график начала их коммерческой реализации. Дата начала продаж установлена на 1 января </w:t>
      </w:r>
      <w:r w:rsidRPr="00BE6C3C">
        <w:rPr>
          <w:lang w:val="ru-RU"/>
        </w:rPr>
        <w:t>2027 года – после завершения инвестиционной фазы проекта (сентябрь–декабрь 2026).</w:t>
      </w:r>
    </w:p>
    <w:p w14:paraId="7ABA2185" w14:textId="16ECCB3D" w:rsidR="001F7619" w:rsidRPr="00BE6C3C" w:rsidRDefault="00BE6C3C">
      <w:pPr>
        <w:ind w:firstLine="0"/>
        <w:jc w:val="center"/>
        <w:rPr>
          <w:lang w:val="ru-RU"/>
        </w:rPr>
      </w:pPr>
      <w:r w:rsidRPr="00BE6C3C">
        <w:rPr>
          <w:lang w:val="ru-RU"/>
        </w:rPr>
        <w:lastRenderedPageBreak/>
        <w:drawing>
          <wp:inline distT="0" distB="0" distL="0" distR="0" wp14:anchorId="720BC37F" wp14:editId="4857D440">
            <wp:extent cx="4429743" cy="193384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F110" w14:textId="77777777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5 – Модуль «Список продуктов»</w:t>
      </w:r>
    </w:p>
    <w:p w14:paraId="3FC0D57E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«Отображение данных» – модуль, предназначенный для настройки визуализации результатов в итоговых табли</w:t>
      </w:r>
      <w:r w:rsidRPr="00BE6C3C">
        <w:rPr>
          <w:lang w:val="ru-RU"/>
        </w:rPr>
        <w:t>цах. С его помощью задаётся временной масштаб (месяц), количество строк в отчёте и валюта представления финансовых показателей (российский рубль).</w:t>
      </w:r>
    </w:p>
    <w:p w14:paraId="342D8AC3" w14:textId="77777777" w:rsidR="00BE6C3C" w:rsidRDefault="00BE6C3C">
      <w:pPr>
        <w:pStyle w:val="FC"/>
        <w:rPr>
          <w:lang w:val="ru-RU"/>
        </w:rPr>
      </w:pPr>
      <w:r w:rsidRPr="00BE6C3C">
        <w:rPr>
          <w:rFonts w:cs="Liberation Serif"/>
          <w:color w:val="000000"/>
          <w:sz w:val="28"/>
          <w:lang w:val="ru-RU"/>
        </w:rPr>
        <w:drawing>
          <wp:inline distT="0" distB="0" distL="0" distR="0" wp14:anchorId="608B444B" wp14:editId="59C7D234">
            <wp:extent cx="4001058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5619" w14:textId="61D7F060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6 – Модуль «Отображение данных»</w:t>
      </w:r>
    </w:p>
    <w:p w14:paraId="3BA5AACA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 модуле «Настройка расчёта» задают</w:t>
      </w:r>
      <w:r w:rsidRPr="00BE6C3C">
        <w:rPr>
          <w:lang w:val="ru-RU"/>
        </w:rPr>
        <w:t>ся ключевые финансовые параметры, включая ставку дисконтирования и степень детализации при формировании результатов вычислений. Ставка дисконтирования для операций в рублях установлена на уровне 16% (соответствует ключевой ставке Банка России на момент ста</w:t>
      </w:r>
      <w:r w:rsidRPr="00BE6C3C">
        <w:rPr>
          <w:lang w:val="ru-RU"/>
        </w:rPr>
        <w:t>рта проекта). Шаг дисконтирования – месяц.</w:t>
      </w:r>
    </w:p>
    <w:p w14:paraId="530691EE" w14:textId="77777777" w:rsidR="00BE6C3C" w:rsidRDefault="00BE6C3C">
      <w:pPr>
        <w:pStyle w:val="FC"/>
        <w:rPr>
          <w:lang w:val="ru-RU"/>
        </w:rPr>
      </w:pPr>
      <w:r w:rsidRPr="00BE6C3C">
        <w:rPr>
          <w:rFonts w:cs="Liberation Serif"/>
          <w:color w:val="000000"/>
          <w:sz w:val="28"/>
          <w:lang w:val="ru-RU"/>
        </w:rPr>
        <w:lastRenderedPageBreak/>
        <w:drawing>
          <wp:inline distT="0" distB="0" distL="0" distR="0" wp14:anchorId="1EBFEA56" wp14:editId="438DACE0">
            <wp:extent cx="5087060" cy="3258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E692" w14:textId="2D2DD9BA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7 – Модуль «Настройка расчёта»</w:t>
      </w:r>
    </w:p>
    <w:p w14:paraId="2E4246C8" w14:textId="77777777" w:rsidR="001F7619" w:rsidRPr="00BE6C3C" w:rsidRDefault="00474AB9">
      <w:pPr>
        <w:pStyle w:val="31"/>
        <w:rPr>
          <w:lang w:val="ru-RU"/>
        </w:rPr>
      </w:pPr>
      <w:r w:rsidRPr="00BE6C3C">
        <w:rPr>
          <w:lang w:val="ru-RU"/>
        </w:rPr>
        <w:t>3.4.2 Описание финансово-экономической среды</w:t>
      </w:r>
    </w:p>
    <w:p w14:paraId="3FA23508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Раздел «Окружение» предназначен для задания внешних экономических и финансовых факторов, оказыв</w:t>
      </w:r>
      <w:r w:rsidRPr="00BE6C3C">
        <w:rPr>
          <w:lang w:val="ru-RU"/>
        </w:rPr>
        <w:t>ающих влияние на реализацию проекта.</w:t>
      </w:r>
    </w:p>
    <w:p w14:paraId="4CD94D98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 модуле «Валюта» задаётся основная валюта проекта – российский рубль. Вспомогательная валюта – доллар США (для расчёта импортных закупок электронной компонентной базы). Обменный курс на дату старта проекта устанавливае</w:t>
      </w:r>
      <w:r w:rsidRPr="00BE6C3C">
        <w:rPr>
          <w:lang w:val="ru-RU"/>
        </w:rPr>
        <w:t>тся на основе данных Банка России.</w:t>
      </w:r>
    </w:p>
    <w:p w14:paraId="14A2B0E2" w14:textId="77777777" w:rsidR="001C1D22" w:rsidRDefault="001C1D22">
      <w:pPr>
        <w:pStyle w:val="FC"/>
        <w:rPr>
          <w:lang w:val="ru-RU"/>
        </w:rPr>
      </w:pPr>
      <w:r w:rsidRPr="001C1D22">
        <w:rPr>
          <w:rFonts w:cs="Liberation Serif"/>
          <w:color w:val="000000"/>
          <w:sz w:val="28"/>
          <w:lang w:val="ru-RU"/>
        </w:rPr>
        <w:lastRenderedPageBreak/>
        <w:drawing>
          <wp:inline distT="0" distB="0" distL="0" distR="0" wp14:anchorId="7EE7A885" wp14:editId="1838E596">
            <wp:extent cx="4201111" cy="2505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C70E" w14:textId="59CC7B4A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8 – Модуль «Валюта»</w:t>
      </w:r>
    </w:p>
    <w:p w14:paraId="1CFD57ED" w14:textId="2B377939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Модуль «Учётная ставка» позволяет определить годовые ставки рефинансирования для каждой из используемых валют на протяжении всего жизненного цикла </w:t>
      </w:r>
      <w:r w:rsidRPr="00BE6C3C">
        <w:rPr>
          <w:lang w:val="ru-RU"/>
        </w:rPr>
        <w:t xml:space="preserve">проекта. На момент запуска проекта ключевая ставка Банка России составляет </w:t>
      </w:r>
      <w:r w:rsidR="001E74C6">
        <w:rPr>
          <w:lang w:val="ru-RU"/>
        </w:rPr>
        <w:t>16</w:t>
      </w:r>
      <w:r w:rsidRPr="00BE6C3C">
        <w:rPr>
          <w:lang w:val="ru-RU"/>
        </w:rPr>
        <w:t>%.</w:t>
      </w:r>
    </w:p>
    <w:p w14:paraId="4443F3D7" w14:textId="77777777" w:rsidR="001E74C6" w:rsidRDefault="001E74C6">
      <w:pPr>
        <w:pStyle w:val="FC"/>
        <w:rPr>
          <w:lang w:val="ru-RU"/>
        </w:rPr>
      </w:pPr>
      <w:r w:rsidRPr="001E74C6">
        <w:rPr>
          <w:rFonts w:cs="Liberation Serif"/>
          <w:color w:val="000000"/>
          <w:sz w:val="28"/>
          <w:lang w:val="ru-RU"/>
        </w:rPr>
        <w:drawing>
          <wp:inline distT="0" distB="0" distL="0" distR="0" wp14:anchorId="051A374D" wp14:editId="59C84290">
            <wp:extent cx="5382376" cy="181952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6CC1" w14:textId="0A323C67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9 – Модуль «Учётная ставка»</w:t>
      </w:r>
    </w:p>
    <w:p w14:paraId="3AD5235F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Функционал модуля «Инфляция» позволяет учесть инфляционные факторы, воздействующие на внешние условия реал</w:t>
      </w:r>
      <w:r w:rsidRPr="00BE6C3C">
        <w:rPr>
          <w:lang w:val="ru-RU"/>
        </w:rPr>
        <w:t xml:space="preserve">изации проекта. Степень влияния инфляции задаётся дифференцированно по категориям: сбыт, прямые издержки (комплектующие), общие издержки, заработная плата и недвижимость. Прогнозный уровень инфляции на 2027–2029 годы </w:t>
      </w:r>
      <w:r w:rsidRPr="00BE6C3C">
        <w:rPr>
          <w:lang w:val="ru-RU"/>
        </w:rPr>
        <w:lastRenderedPageBreak/>
        <w:t>принят в диапазоне 7–8% годовых на осно</w:t>
      </w:r>
      <w:r w:rsidRPr="00BE6C3C">
        <w:rPr>
          <w:lang w:val="ru-RU"/>
        </w:rPr>
        <w:t>вании консенсус-прогноза Банка России.</w:t>
      </w:r>
    </w:p>
    <w:p w14:paraId="2E900951" w14:textId="77777777" w:rsidR="001E74C6" w:rsidRDefault="001E74C6">
      <w:pPr>
        <w:pStyle w:val="FC"/>
        <w:rPr>
          <w:lang w:val="ru-RU"/>
        </w:rPr>
      </w:pPr>
      <w:r w:rsidRPr="001E74C6">
        <w:rPr>
          <w:rFonts w:cs="Liberation Serif"/>
          <w:color w:val="000000"/>
          <w:sz w:val="28"/>
          <w:lang w:val="ru-RU"/>
        </w:rPr>
        <w:drawing>
          <wp:inline distT="0" distB="0" distL="0" distR="0" wp14:anchorId="7F786A05" wp14:editId="49884517">
            <wp:extent cx="4906060" cy="277216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B4B1" w14:textId="0BCF6630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10 – Модуль «Инфляция»</w:t>
      </w:r>
    </w:p>
    <w:p w14:paraId="30EC9FCD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Модуль «Налоги» обеспечивает ввод данных о налоговых обязательствах предприятия. В соответствии с выбранным налоговым режимом (УСН «доходы минус расходы</w:t>
      </w:r>
      <w:r w:rsidRPr="00BE6C3C">
        <w:rPr>
          <w:lang w:val="ru-RU"/>
        </w:rPr>
        <w:t>» 15%) в модуль вносятся следующие параметры: ставка единого налога 15%, страховые взносы 30% (с суммы до 1,5 МРОТ) и 15% (с суммы превышения), а также взносы на травматизм. Налог на имущество и НДС не применяются в связи с использованием упрощённой систем</w:t>
      </w:r>
      <w:r w:rsidRPr="00BE6C3C">
        <w:rPr>
          <w:lang w:val="ru-RU"/>
        </w:rPr>
        <w:t xml:space="preserve">ы налогообложения и </w:t>
      </w:r>
      <w:proofErr w:type="spellStart"/>
      <w:r w:rsidRPr="00BE6C3C">
        <w:rPr>
          <w:lang w:val="ru-RU"/>
        </w:rPr>
        <w:t>непревышением</w:t>
      </w:r>
      <w:proofErr w:type="spellEnd"/>
      <w:r w:rsidRPr="00BE6C3C">
        <w:rPr>
          <w:lang w:val="ru-RU"/>
        </w:rPr>
        <w:t xml:space="preserve"> порога выручки 20 млн рублей в год.</w:t>
      </w:r>
    </w:p>
    <w:p w14:paraId="6EE3950A" w14:textId="77777777" w:rsidR="001E74C6" w:rsidRDefault="001E74C6">
      <w:pPr>
        <w:pStyle w:val="FC"/>
        <w:rPr>
          <w:lang w:val="ru-RU"/>
        </w:rPr>
      </w:pPr>
      <w:r w:rsidRPr="001E74C6">
        <w:rPr>
          <w:rFonts w:cs="Liberation Serif"/>
          <w:color w:val="000000"/>
          <w:sz w:val="28"/>
          <w:lang w:val="ru-RU"/>
        </w:rPr>
        <w:lastRenderedPageBreak/>
        <w:drawing>
          <wp:inline distT="0" distB="0" distL="0" distR="0" wp14:anchorId="7DE8B314" wp14:editId="632AFFA6">
            <wp:extent cx="3924848" cy="353426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842B" w14:textId="039E670A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11 – Модуль «Налоги»</w:t>
      </w:r>
    </w:p>
    <w:p w14:paraId="5E213DF6" w14:textId="77777777" w:rsidR="001F7619" w:rsidRPr="00BE6C3C" w:rsidRDefault="00474AB9">
      <w:pPr>
        <w:pStyle w:val="31"/>
        <w:rPr>
          <w:lang w:val="ru-RU"/>
        </w:rPr>
      </w:pPr>
      <w:r w:rsidRPr="00BE6C3C">
        <w:rPr>
          <w:lang w:val="ru-RU"/>
        </w:rPr>
        <w:t>3.4.3 Составление календарного графика работ</w:t>
      </w:r>
    </w:p>
    <w:p w14:paraId="3C52F1A1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Формирование календарного графика реализации проекта осуществляется в рамках р</w:t>
      </w:r>
      <w:r w:rsidRPr="00BE6C3C">
        <w:rPr>
          <w:lang w:val="ru-RU"/>
        </w:rPr>
        <w:t>аздела «Инвестиционный план» с использованием специализированного модуля «Календарный план». Данный инструментарий позволяет систематизировать все подготовительные мероприятия, предшествующие запуску производственного процесса.</w:t>
      </w:r>
    </w:p>
    <w:p w14:paraId="550C74D2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Функциональные возможности м</w:t>
      </w:r>
      <w:r w:rsidRPr="00BE6C3C">
        <w:rPr>
          <w:lang w:val="ru-RU"/>
        </w:rPr>
        <w:t>одуля включают: детализированный перечень технологических этапов инвестиционной фазы, расчёт временных затрат (в днях) для каждого этапа и определение объёма требуемых капитальных вложений (в рублях). Для наглядного представления данных в интерфейсе модуля</w:t>
      </w:r>
      <w:r w:rsidRPr="00BE6C3C">
        <w:rPr>
          <w:lang w:val="ru-RU"/>
        </w:rPr>
        <w:t xml:space="preserve"> предусмотрена графическая диаграмма </w:t>
      </w:r>
      <w:proofErr w:type="spellStart"/>
      <w:r w:rsidRPr="00BE6C3C">
        <w:rPr>
          <w:lang w:val="ru-RU"/>
        </w:rPr>
        <w:t>Ганта</w:t>
      </w:r>
      <w:proofErr w:type="spellEnd"/>
      <w:r w:rsidRPr="00BE6C3C">
        <w:rPr>
          <w:lang w:val="ru-RU"/>
        </w:rPr>
        <w:t>, визуализирующая хронологическую последовательность этапов и их взаимозависимости.</w:t>
      </w:r>
    </w:p>
    <w:p w14:paraId="59EA7321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lastRenderedPageBreak/>
        <w:t>В календарный план внесены следующие этапы: регистрация юридического лица, оформление кредита, подписание договора аренды, разрабо</w:t>
      </w:r>
      <w:r w:rsidRPr="00BE6C3C">
        <w:rPr>
          <w:lang w:val="ru-RU"/>
        </w:rPr>
        <w:t xml:space="preserve">тка конструкторской документации, закупка оборудования (стенд «СИ–ТДК», климатическая камера, паяльные станции), ремонт помещения и монтаж </w:t>
      </w:r>
      <w:r>
        <w:t>ESD</w:t>
      </w:r>
      <w:r w:rsidRPr="00BE6C3C">
        <w:rPr>
          <w:lang w:val="ru-RU"/>
        </w:rPr>
        <w:t>-зоны, изготовление пресс-формы корпуса, пусконаладка оборудования, найм и обучение персонала, сборка пробной парт</w:t>
      </w:r>
      <w:r w:rsidRPr="00BE6C3C">
        <w:rPr>
          <w:lang w:val="ru-RU"/>
        </w:rPr>
        <w:t>ии и сертификация продукции по ТР ЕАЭС 043/2017. Общая длительность инвестиционной фазы составляет 4 месяца (сентябрь–декабрь 2026 года).</w:t>
      </w:r>
    </w:p>
    <w:p w14:paraId="14C01E29" w14:textId="025B88ED" w:rsidR="001F7619" w:rsidRPr="00BE6C3C" w:rsidRDefault="00801D74">
      <w:pPr>
        <w:pStyle w:val="FC"/>
        <w:rPr>
          <w:lang w:val="ru-RU"/>
        </w:rPr>
      </w:pPr>
      <w:r w:rsidRPr="00801D74">
        <w:rPr>
          <w:rFonts w:cs="Liberation Serif"/>
          <w:color w:val="000000"/>
          <w:sz w:val="28"/>
          <w:lang w:val="ru-RU"/>
        </w:rPr>
        <w:drawing>
          <wp:inline distT="0" distB="0" distL="0" distR="0" wp14:anchorId="0CA0A9EB" wp14:editId="56E702D6">
            <wp:extent cx="6152515" cy="583184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AB9" w:rsidRPr="00BE6C3C">
        <w:rPr>
          <w:lang w:val="ru-RU"/>
        </w:rPr>
        <w:t xml:space="preserve">Рисунок 12 – Модуль «Календарный план» (диаграмма </w:t>
      </w:r>
      <w:proofErr w:type="spellStart"/>
      <w:r w:rsidR="00474AB9" w:rsidRPr="00BE6C3C">
        <w:rPr>
          <w:lang w:val="ru-RU"/>
        </w:rPr>
        <w:t>Ганта</w:t>
      </w:r>
      <w:proofErr w:type="spellEnd"/>
      <w:r w:rsidR="00474AB9" w:rsidRPr="00BE6C3C">
        <w:rPr>
          <w:lang w:val="ru-RU"/>
        </w:rPr>
        <w:t>)</w:t>
      </w:r>
    </w:p>
    <w:p w14:paraId="2951CA23" w14:textId="77777777" w:rsidR="001F7619" w:rsidRPr="00BE6C3C" w:rsidRDefault="00474AB9">
      <w:pPr>
        <w:pStyle w:val="31"/>
        <w:rPr>
          <w:lang w:val="ru-RU"/>
        </w:rPr>
      </w:pPr>
      <w:r w:rsidRPr="00BE6C3C">
        <w:rPr>
          <w:lang w:val="ru-RU"/>
        </w:rPr>
        <w:lastRenderedPageBreak/>
        <w:t>3.4.4 Формирование операцио</w:t>
      </w:r>
      <w:r w:rsidRPr="00BE6C3C">
        <w:rPr>
          <w:lang w:val="ru-RU"/>
        </w:rPr>
        <w:t>нного плана</w:t>
      </w:r>
    </w:p>
    <w:p w14:paraId="41C45FE1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Разработка операционного плана осуществляется в специализированных модулях раздела «Операционный план», предназначенных для детализации стратегии операционной деятельности предприятия.</w:t>
      </w:r>
    </w:p>
    <w:p w14:paraId="259F194D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 модуле «План сбыта» формируется стратегия продаж, включая</w:t>
      </w:r>
      <w:r w:rsidRPr="00BE6C3C">
        <w:rPr>
          <w:lang w:val="ru-RU"/>
        </w:rPr>
        <w:t xml:space="preserve"> определение ценовой политики и прогнозирование месячных объёмов реализации продукции. Отпускная цена комбинированного извещателя установлена на уровне 1 800 рублей за единицу, монтажной базы с изолятором КЗ – 350 рублей. Объём продаж нарастает ступенчато </w:t>
      </w:r>
      <w:r w:rsidRPr="00BE6C3C">
        <w:rPr>
          <w:lang w:val="ru-RU"/>
        </w:rPr>
        <w:t>от 350 единиц в месяц (загрузка 50%) до 700 единиц в месяц (загрузка 100%) в течение первых двенадцати месяцев операционной деятельности.</w:t>
      </w:r>
    </w:p>
    <w:p w14:paraId="71420234" w14:textId="77777777" w:rsidR="00801D74" w:rsidRDefault="00801D74">
      <w:pPr>
        <w:pStyle w:val="FC"/>
        <w:rPr>
          <w:lang w:val="ru-RU"/>
        </w:rPr>
      </w:pPr>
      <w:r w:rsidRPr="00801D74">
        <w:rPr>
          <w:rFonts w:cs="Liberation Serif"/>
          <w:color w:val="000000"/>
          <w:sz w:val="28"/>
          <w:lang w:val="ru-RU"/>
        </w:rPr>
        <w:drawing>
          <wp:inline distT="0" distB="0" distL="0" distR="0" wp14:anchorId="3DD886B0" wp14:editId="36B3F4BD">
            <wp:extent cx="5430008" cy="37819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0831" w14:textId="30C0D898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13 – Модуль «План сбыта»</w:t>
      </w:r>
    </w:p>
    <w:p w14:paraId="101FFF45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lastRenderedPageBreak/>
        <w:t>Модуль «План производства» (прямые издержки) исполь</w:t>
      </w:r>
      <w:r w:rsidRPr="00BE6C3C">
        <w:rPr>
          <w:lang w:val="ru-RU"/>
        </w:rPr>
        <w:t>зуется для детализации производственной себестоимости продукции. В данный модуль внесена спецификация материалов (</w:t>
      </w:r>
      <w:r>
        <w:t>BOM</w:t>
      </w:r>
      <w:r w:rsidRPr="00BE6C3C">
        <w:rPr>
          <w:lang w:val="ru-RU"/>
        </w:rPr>
        <w:t xml:space="preserve">) на один комбинированный извещатель: печатная плата с </w:t>
      </w:r>
      <w:r>
        <w:t>SMT</w:t>
      </w:r>
      <w:r w:rsidRPr="00BE6C3C">
        <w:rPr>
          <w:lang w:val="ru-RU"/>
        </w:rPr>
        <w:t xml:space="preserve">-монтажом (175 руб.), пластиковый корпус (50 руб.), микроконтроллер </w:t>
      </w:r>
      <w:r>
        <w:t>WCH</w:t>
      </w:r>
      <w:r w:rsidRPr="00BE6C3C">
        <w:rPr>
          <w:lang w:val="ru-RU"/>
        </w:rPr>
        <w:t xml:space="preserve"> </w:t>
      </w:r>
      <w:r>
        <w:t>CH</w:t>
      </w:r>
      <w:r w:rsidRPr="00BE6C3C">
        <w:rPr>
          <w:lang w:val="ru-RU"/>
        </w:rPr>
        <w:t>32</w:t>
      </w:r>
      <w:r>
        <w:t>V</w:t>
      </w:r>
      <w:r w:rsidRPr="00BE6C3C">
        <w:rPr>
          <w:lang w:val="ru-RU"/>
        </w:rPr>
        <w:t xml:space="preserve">003 </w:t>
      </w:r>
      <w:r w:rsidRPr="00BE6C3C">
        <w:rPr>
          <w:lang w:val="ru-RU"/>
        </w:rPr>
        <w:t xml:space="preserve">(23 руб.), термистор </w:t>
      </w:r>
      <w:r>
        <w:t>NTC</w:t>
      </w:r>
      <w:r w:rsidRPr="00BE6C3C">
        <w:rPr>
          <w:lang w:val="ru-RU"/>
        </w:rPr>
        <w:t xml:space="preserve"> (6 руб.), оптическая пара ИК-диод + фототранзистор (46 руб.), пассивные компоненты (20 руб.), разъёмы (15 руб.), расходные материалы (25 руб.) и упаковка (22 руб.). Совокупная прямая себестоимость одного изделия составляет 382 рубл</w:t>
      </w:r>
      <w:r w:rsidRPr="00BE6C3C">
        <w:rPr>
          <w:lang w:val="ru-RU"/>
        </w:rPr>
        <w:t>я.</w:t>
      </w:r>
    </w:p>
    <w:p w14:paraId="0427BA5A" w14:textId="4DFBDE07" w:rsidR="00CE123D" w:rsidRDefault="00CE123D">
      <w:pPr>
        <w:pStyle w:val="FC"/>
        <w:rPr>
          <w:lang w:val="ru-RU"/>
        </w:rPr>
      </w:pPr>
      <w:r w:rsidRPr="00CE123D">
        <w:rPr>
          <w:lang w:val="ru-RU"/>
        </w:rPr>
        <w:drawing>
          <wp:inline distT="0" distB="0" distL="0" distR="0" wp14:anchorId="52817FCB" wp14:editId="4D107300">
            <wp:extent cx="5772956" cy="378195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2920" w14:textId="6F895FA9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14 – Модуль «План производства» (прямые издержки)</w:t>
      </w:r>
    </w:p>
    <w:p w14:paraId="0413946F" w14:textId="7847217C" w:rsidR="001F7619" w:rsidRDefault="00474AB9">
      <w:pPr>
        <w:rPr>
          <w:lang w:val="ru-RU"/>
        </w:rPr>
      </w:pPr>
      <w:r w:rsidRPr="00BE6C3C">
        <w:rPr>
          <w:lang w:val="ru-RU"/>
        </w:rPr>
        <w:t xml:space="preserve">Модуль «План персонала» предназначен для внесения данных о сотрудниках предприятия, включая численность работников по должностям и размер их заработной </w:t>
      </w:r>
      <w:r w:rsidRPr="00BE6C3C">
        <w:rPr>
          <w:lang w:val="ru-RU"/>
        </w:rPr>
        <w:t xml:space="preserve">платы. Штатное расписание включает: Директор (70 000 руб./мес.), Главный инженер (100 000 руб./мес.), Техник </w:t>
      </w:r>
      <w:r w:rsidRPr="00BE6C3C">
        <w:rPr>
          <w:lang w:val="ru-RU"/>
        </w:rPr>
        <w:lastRenderedPageBreak/>
        <w:t xml:space="preserve">ОТК (60 000 руб./мес.), Сборщик РЭА №1 (70 000 руб./мес.), Сборщик РЭА №2 (70 000 руб./мес.). Программа автоматически начисляет на указанные суммы </w:t>
      </w:r>
      <w:r w:rsidRPr="00BE6C3C">
        <w:rPr>
          <w:lang w:val="ru-RU"/>
        </w:rPr>
        <w:t>страховые взносы в соответствии с заданными в модуле «Налоги» ставками.</w:t>
      </w:r>
    </w:p>
    <w:p w14:paraId="5BDC7BC5" w14:textId="348519CC" w:rsidR="00452BE2" w:rsidRDefault="00452BE2">
      <w:pPr>
        <w:rPr>
          <w:lang w:val="ru-RU"/>
        </w:rPr>
      </w:pPr>
    </w:p>
    <w:p w14:paraId="713B69CB" w14:textId="0F5683EA" w:rsidR="00452BE2" w:rsidRDefault="00452BE2">
      <w:pPr>
        <w:rPr>
          <w:lang w:val="ru-RU"/>
        </w:rPr>
      </w:pPr>
    </w:p>
    <w:p w14:paraId="050F6288" w14:textId="3A43A990" w:rsidR="00452BE2" w:rsidRDefault="00452BE2">
      <w:pPr>
        <w:rPr>
          <w:lang w:val="ru-RU"/>
        </w:rPr>
      </w:pPr>
    </w:p>
    <w:p w14:paraId="50CCCEF4" w14:textId="5C2C5815" w:rsidR="00452BE2" w:rsidRDefault="00452BE2">
      <w:pPr>
        <w:rPr>
          <w:lang w:val="ru-RU"/>
        </w:rPr>
      </w:pPr>
    </w:p>
    <w:p w14:paraId="2C3BF79F" w14:textId="13974803" w:rsidR="00452BE2" w:rsidRDefault="00452BE2">
      <w:pPr>
        <w:rPr>
          <w:lang w:val="ru-RU"/>
        </w:rPr>
      </w:pPr>
    </w:p>
    <w:p w14:paraId="2DB245E0" w14:textId="2B2F715A" w:rsidR="00452BE2" w:rsidRDefault="00452BE2">
      <w:pPr>
        <w:rPr>
          <w:lang w:val="ru-RU"/>
        </w:rPr>
      </w:pPr>
    </w:p>
    <w:p w14:paraId="561C4E67" w14:textId="16F8B4EA" w:rsidR="00452BE2" w:rsidRDefault="00452BE2">
      <w:pPr>
        <w:rPr>
          <w:lang w:val="ru-RU"/>
        </w:rPr>
      </w:pPr>
    </w:p>
    <w:p w14:paraId="5E413346" w14:textId="0658DC1A" w:rsidR="00452BE2" w:rsidRDefault="00452BE2">
      <w:pPr>
        <w:rPr>
          <w:lang w:val="ru-RU"/>
        </w:rPr>
      </w:pPr>
    </w:p>
    <w:p w14:paraId="1A00727E" w14:textId="1E350339" w:rsidR="00452BE2" w:rsidRDefault="00452BE2">
      <w:pPr>
        <w:rPr>
          <w:lang w:val="ru-RU"/>
        </w:rPr>
      </w:pPr>
    </w:p>
    <w:p w14:paraId="72C96511" w14:textId="33372255" w:rsidR="00452BE2" w:rsidRDefault="00452BE2">
      <w:pPr>
        <w:rPr>
          <w:lang w:val="ru-RU"/>
        </w:rPr>
      </w:pPr>
    </w:p>
    <w:p w14:paraId="652CD2BF" w14:textId="039DC840" w:rsidR="00452BE2" w:rsidRDefault="00452BE2">
      <w:pPr>
        <w:rPr>
          <w:lang w:val="ru-RU"/>
        </w:rPr>
      </w:pPr>
    </w:p>
    <w:p w14:paraId="5717F114" w14:textId="4C885E16" w:rsidR="00452BE2" w:rsidRDefault="00452BE2">
      <w:pPr>
        <w:rPr>
          <w:lang w:val="ru-RU"/>
        </w:rPr>
      </w:pPr>
    </w:p>
    <w:p w14:paraId="268E5952" w14:textId="77777777" w:rsidR="00452BE2" w:rsidRPr="00BE6C3C" w:rsidRDefault="00452BE2">
      <w:pPr>
        <w:rPr>
          <w:lang w:val="ru-RU"/>
        </w:rPr>
      </w:pPr>
    </w:p>
    <w:p w14:paraId="7E3217B3" w14:textId="7364AB2A" w:rsidR="001F7619" w:rsidRDefault="00452BE2">
      <w:pPr>
        <w:ind w:firstLine="0"/>
        <w:jc w:val="center"/>
        <w:rPr>
          <w:lang w:val="ru-RU"/>
        </w:rPr>
      </w:pPr>
      <w:r w:rsidRPr="00452BE2">
        <w:rPr>
          <w:lang w:val="ru-RU"/>
        </w:rPr>
        <w:lastRenderedPageBreak/>
        <w:drawing>
          <wp:inline distT="0" distB="0" distL="0" distR="0" wp14:anchorId="4FA99204" wp14:editId="37538071">
            <wp:extent cx="4858428" cy="39629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6E94" w14:textId="53F97041" w:rsidR="00452BE2" w:rsidRPr="00BE6C3C" w:rsidRDefault="00452BE2">
      <w:pPr>
        <w:ind w:firstLine="0"/>
        <w:jc w:val="center"/>
        <w:rPr>
          <w:lang w:val="ru-RU"/>
        </w:rPr>
      </w:pPr>
      <w:r w:rsidRPr="00452BE2">
        <w:rPr>
          <w:lang w:val="ru-RU"/>
        </w:rPr>
        <w:drawing>
          <wp:inline distT="0" distB="0" distL="0" distR="0" wp14:anchorId="23544CC7" wp14:editId="74122CA1">
            <wp:extent cx="4829849" cy="3953427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22C4" w14:textId="77777777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15 – Модуль «План персонала»</w:t>
      </w:r>
    </w:p>
    <w:p w14:paraId="1976930B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lastRenderedPageBreak/>
        <w:t xml:space="preserve">Модуль «Общие издержки» отражает совокупные ежемесячные постоянные расходы предприятия, не зависящие от </w:t>
      </w:r>
      <w:r w:rsidRPr="00BE6C3C">
        <w:rPr>
          <w:lang w:val="ru-RU"/>
        </w:rPr>
        <w:t xml:space="preserve">объёма производства. В данный модуль внесены: арендная плата за помещение (49 875 руб./мес.), коммунальные услуги и интернет (22 000 руб./мес.), бухгалтерское обслуживание на </w:t>
      </w:r>
      <w:proofErr w:type="spellStart"/>
      <w:r w:rsidRPr="00BE6C3C">
        <w:rPr>
          <w:lang w:val="ru-RU"/>
        </w:rPr>
        <w:t>аутсорсе</w:t>
      </w:r>
      <w:proofErr w:type="spellEnd"/>
      <w:r w:rsidRPr="00BE6C3C">
        <w:rPr>
          <w:lang w:val="ru-RU"/>
        </w:rPr>
        <w:t xml:space="preserve"> (18 000 руб./мес.), расходы на рекламу и участие в выставках (15 000 руб</w:t>
      </w:r>
      <w:r w:rsidRPr="00BE6C3C">
        <w:rPr>
          <w:lang w:val="ru-RU"/>
        </w:rPr>
        <w:t>./мес.), прочие административные расходы (10 000 руб./мес.).</w:t>
      </w:r>
    </w:p>
    <w:p w14:paraId="74F3DEAA" w14:textId="6B45B88B" w:rsidR="001F7619" w:rsidRPr="00BE6C3C" w:rsidRDefault="006A6139">
      <w:pPr>
        <w:ind w:firstLine="0"/>
        <w:jc w:val="center"/>
        <w:rPr>
          <w:lang w:val="ru-RU"/>
        </w:rPr>
      </w:pPr>
      <w:r w:rsidRPr="006A6139">
        <w:rPr>
          <w:lang w:val="ru-RU"/>
        </w:rPr>
        <w:drawing>
          <wp:inline distT="0" distB="0" distL="0" distR="0" wp14:anchorId="6CC59159" wp14:editId="7265F00D">
            <wp:extent cx="4839375" cy="39057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1F83" w14:textId="77777777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16 – Модуль «Общие издержки»</w:t>
      </w:r>
    </w:p>
    <w:p w14:paraId="2E6FB2E4" w14:textId="77777777" w:rsidR="001F7619" w:rsidRPr="00BE6C3C" w:rsidRDefault="00474AB9">
      <w:pPr>
        <w:pStyle w:val="31"/>
        <w:rPr>
          <w:lang w:val="ru-RU"/>
        </w:rPr>
      </w:pPr>
      <w:r w:rsidRPr="00BE6C3C">
        <w:rPr>
          <w:lang w:val="ru-RU"/>
        </w:rPr>
        <w:t>3.4.5 Формирование финансового плана</w:t>
      </w:r>
    </w:p>
    <w:p w14:paraId="0E2EA78D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Раздел «Финансирование» служит для формирования финансового плана проекта и определения</w:t>
      </w:r>
      <w:r w:rsidRPr="00BE6C3C">
        <w:rPr>
          <w:lang w:val="ru-RU"/>
        </w:rPr>
        <w:t xml:space="preserve"> структуры привлекаемого капитала.</w:t>
      </w:r>
    </w:p>
    <w:p w14:paraId="2EDE9415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В модуле «Акционерный капитал» указываются условия внесения собственных средств учредителей. Собственный капитал проекта </w:t>
      </w:r>
      <w:r w:rsidRPr="00BE6C3C">
        <w:rPr>
          <w:lang w:val="ru-RU"/>
        </w:rPr>
        <w:lastRenderedPageBreak/>
        <w:t>составляет 3 000 000 рублей, вносимых единовременно в месяце старта проекта (сентябрь 2026).</w:t>
      </w:r>
    </w:p>
    <w:p w14:paraId="35C628BF" w14:textId="77777777" w:rsidR="006A6139" w:rsidRDefault="006A6139">
      <w:pPr>
        <w:pStyle w:val="FC"/>
        <w:rPr>
          <w:lang w:val="ru-RU"/>
        </w:rPr>
      </w:pPr>
      <w:r w:rsidRPr="006A6139">
        <w:rPr>
          <w:rFonts w:cs="Liberation Serif"/>
          <w:color w:val="000000"/>
          <w:sz w:val="28"/>
          <w:lang w:val="ru-RU"/>
        </w:rPr>
        <w:drawing>
          <wp:inline distT="0" distB="0" distL="0" distR="0" wp14:anchorId="62DB4DC2" wp14:editId="1242F594">
            <wp:extent cx="5153744" cy="3134162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79AD" w14:textId="2DD3EA09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17 – Модуль «Акционерный капитал»</w:t>
      </w:r>
    </w:p>
    <w:p w14:paraId="39E7C940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В модуле «Кредиты» (Займы) оформляется привлечение заёмных средств. Для финансирования проекта привлекается кредит МСП в размере 2 000 000 рублей на следующих условиях: процентная ставка </w:t>
      </w:r>
      <w:r w:rsidRPr="00BE6C3C">
        <w:rPr>
          <w:lang w:val="ru-RU"/>
        </w:rPr>
        <w:t>12% годовых, срок кредитования 36 месяцев, схема погашения – аннуитетные (равные ежемесячные) платежи. Расчётный ежемесячный платёж по кредиту составляет приблизительно 66 400 рублей.</w:t>
      </w:r>
    </w:p>
    <w:p w14:paraId="1D78D7F9" w14:textId="77777777" w:rsidR="006A6139" w:rsidRDefault="006A6139">
      <w:pPr>
        <w:pStyle w:val="FC"/>
        <w:rPr>
          <w:lang w:val="ru-RU"/>
        </w:rPr>
      </w:pPr>
      <w:r w:rsidRPr="006A6139">
        <w:rPr>
          <w:rFonts w:cs="Liberation Serif"/>
          <w:color w:val="000000"/>
          <w:sz w:val="28"/>
          <w:lang w:val="ru-RU"/>
        </w:rPr>
        <w:lastRenderedPageBreak/>
        <w:drawing>
          <wp:inline distT="0" distB="0" distL="0" distR="0" wp14:anchorId="29FE85C3" wp14:editId="245E5BD0">
            <wp:extent cx="5353797" cy="339137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B845" w14:textId="52F50976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18 – Модуль «Кредиты»</w:t>
      </w:r>
    </w:p>
    <w:p w14:paraId="495A1ABD" w14:textId="77777777" w:rsidR="001F7619" w:rsidRPr="00BE6C3C" w:rsidRDefault="00474AB9">
      <w:pPr>
        <w:pStyle w:val="31"/>
        <w:rPr>
          <w:lang w:val="ru-RU"/>
        </w:rPr>
      </w:pPr>
      <w:r w:rsidRPr="00BE6C3C">
        <w:rPr>
          <w:lang w:val="ru-RU"/>
        </w:rPr>
        <w:t>3.4.6 Ан</w:t>
      </w:r>
      <w:r w:rsidRPr="00BE6C3C">
        <w:rPr>
          <w:lang w:val="ru-RU"/>
        </w:rPr>
        <w:t>ализ проекта</w:t>
      </w:r>
    </w:p>
    <w:p w14:paraId="20C09F2D" w14:textId="79BDBD21" w:rsidR="001F7619" w:rsidRDefault="00474AB9">
      <w:pPr>
        <w:rPr>
          <w:lang w:val="ru-RU"/>
        </w:rPr>
      </w:pPr>
      <w:r w:rsidRPr="00BE6C3C">
        <w:rPr>
          <w:lang w:val="ru-RU"/>
        </w:rPr>
        <w:t xml:space="preserve">После определения основных параметров и условий финансирования система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выполняет сквозную имитационную симуляцию хозяйственной деятельности предприятия и автоматически формирует прогнозные финансовые отчёты. На рисунке ниже пред</w:t>
      </w:r>
      <w:r w:rsidRPr="00BE6C3C">
        <w:rPr>
          <w:lang w:val="ru-RU"/>
        </w:rPr>
        <w:t>ставлена динамика доходов и расходов проекта за трёхлетний горизонт планирования.</w:t>
      </w:r>
    </w:p>
    <w:p w14:paraId="2780C42C" w14:textId="7386AB69" w:rsidR="00445FEA" w:rsidRPr="00BE6C3C" w:rsidRDefault="00445FEA" w:rsidP="00445FEA">
      <w:pPr>
        <w:rPr>
          <w:lang w:val="ru-RU"/>
        </w:rPr>
      </w:pPr>
      <w:r w:rsidRPr="00445FEA">
        <w:rPr>
          <w:lang w:val="ru-RU"/>
        </w:rPr>
        <w:lastRenderedPageBreak/>
        <w:drawing>
          <wp:inline distT="0" distB="0" distL="0" distR="0" wp14:anchorId="457E9C28" wp14:editId="1B0A119B">
            <wp:extent cx="6152515" cy="4587240"/>
            <wp:effectExtent l="0" t="0" r="63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3863" w14:textId="355ADC2F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19 – Динамика доходов и расходов проекта</w:t>
      </w:r>
    </w:p>
    <w:p w14:paraId="36F325ED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Результаты расчётов демонстрируют следующие интегральные показатели инвестиционной эффектив</w:t>
      </w:r>
      <w:r w:rsidRPr="00BE6C3C">
        <w:rPr>
          <w:lang w:val="ru-RU"/>
        </w:rPr>
        <w:t>ности проекта. Анализ данных позволяет сделать вывод о том, что проект является экономически целесообразным и привлекательным для инвесторов. Ключевые критерии эффективности:</w:t>
      </w:r>
    </w:p>
    <w:p w14:paraId="2902C785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Дисконтированный срок окупаемости (DPP) – 30 месяцев при общей длительности проекта 36 месяцев, что означает возврат вложенных средств с учётом временной стоимости денег;</w:t>
      </w:r>
      <w:r/>
      <w:r w:rsidRPr="00BE6C3C">
        <w:rPr>
          <w:lang w:val="ru-RU"/>
        </w:rPr>
      </w:r>
      <w:r/>
      <w:r w:rsidRPr="00BE6C3C">
        <w:rPr>
          <w:lang w:val="ru-RU"/>
        </w:rPr>
      </w:r>
      <w:r w:rsidRPr="00BE6C3C">
        <w:rPr>
          <w:lang w:val="ru-RU"/>
        </w:rPr>
      </w:r>
    </w:p>
    <w:p w14:paraId="6AAD0BA9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Индекс прибыльности (PI) – 1,31, то есть каждый вложенный рубль генерирует 31 копейку дисконтированного дохода;</w:t>
      </w:r>
      <w:r/>
      <w:r w:rsidRPr="00BE6C3C">
        <w:rPr>
          <w:lang w:val="ru-RU"/>
        </w:rPr>
      </w:r>
      <w:r/>
      <w:r w:rsidRPr="00BE6C3C">
        <w:rPr>
          <w:lang w:val="ru-RU"/>
        </w:rPr>
      </w:r>
      <w:r/>
      <w:r w:rsidRPr="00BE6C3C">
        <w:rPr>
          <w:lang w:val="ru-RU"/>
        </w:rPr>
      </w:r>
    </w:p>
    <w:p w14:paraId="0BA54424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Чистый дисконтированный доход (NPV) – положительный, составляет 2 461 669 рублей;</w:t>
      </w:r>
      <w:r w:rsidRPr="00BE6C3C">
        <w:rPr>
          <w:lang w:val="ru-RU"/>
        </w:rPr>
      </w:r>
      <w:r/>
      <w:r w:rsidRPr="00BE6C3C">
        <w:rPr>
          <w:lang w:val="ru-RU"/>
        </w:rPr>
      </w:r>
      <w:r/>
      <w:r w:rsidRPr="00BE6C3C">
        <w:rPr>
          <w:lang w:val="ru-RU"/>
        </w:rPr>
      </w:r>
    </w:p>
    <w:p w14:paraId="5E33C236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Внутренняя норма доходности (IRR) – 35,67%, что превышает ставку дисконтирования (16%) и подтверждает экономическую целесообразность проекта.</w:t>
      </w:r>
      <w:r/>
      <w:r w:rsidRPr="00BE6C3C">
        <w:rPr>
          <w:lang w:val="ru-RU"/>
        </w:rPr>
      </w:r>
      <w:r/>
      <w:r w:rsidRPr="00BE6C3C">
        <w:rPr>
          <w:lang w:val="ru-RU"/>
        </w:rPr>
      </w:r>
    </w:p>
    <w:p w14:paraId="716B859A" w14:textId="77777777" w:rsidR="00445FEA" w:rsidRDefault="00445FEA">
      <w:pPr>
        <w:pStyle w:val="FC"/>
        <w:rPr>
          <w:lang w:val="ru-RU"/>
        </w:rPr>
      </w:pPr>
      <w:r w:rsidRPr="00445FEA">
        <w:rPr>
          <w:rFonts w:cs="Liberation Serif"/>
          <w:color w:val="000000"/>
          <w:sz w:val="28"/>
          <w:lang w:val="ru-RU"/>
        </w:rPr>
        <w:drawing>
          <wp:inline distT="0" distB="0" distL="0" distR="0" wp14:anchorId="1693FB8A" wp14:editId="4625A91C">
            <wp:extent cx="4163006" cy="421063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E973" w14:textId="2DD5780E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20 – Эффективность инвестиций</w:t>
      </w:r>
    </w:p>
    <w:p w14:paraId="1EE5EE66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Ниже на графике представлена динамика окупаемости проекта – визуализация момента, в который накопленный дисконтированный денежный поток переходит из отрицательной в положительную область.</w:t>
      </w:r>
    </w:p>
    <w:p w14:paraId="3061E38C" w14:textId="42F35F61" w:rsidR="001F7619" w:rsidRPr="00BE6C3C" w:rsidRDefault="00445FEA">
      <w:pPr>
        <w:pStyle w:val="FC"/>
        <w:rPr>
          <w:lang w:val="ru-RU"/>
        </w:rPr>
      </w:pPr>
      <w:r w:rsidRPr="00445FEA">
        <w:rPr>
          <w:rFonts w:cs="Liberation Serif"/>
          <w:color w:val="000000"/>
          <w:sz w:val="28"/>
          <w:lang w:val="ru-RU"/>
        </w:rPr>
        <w:lastRenderedPageBreak/>
        <w:drawing>
          <wp:inline distT="0" distB="0" distL="0" distR="0" wp14:anchorId="0D9EF3B8" wp14:editId="10794E30">
            <wp:extent cx="6152515" cy="4379595"/>
            <wp:effectExtent l="0" t="0" r="63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AB9" w:rsidRPr="00BE6C3C">
        <w:rPr>
          <w:lang w:val="ru-RU"/>
        </w:rPr>
        <w:t>Рисунок 21 – График окупаемости проекта</w:t>
      </w:r>
    </w:p>
    <w:p w14:paraId="3663331F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 таблице ниже представлен фрагмент прогнозного отчёта о движении денежных средств (</w:t>
      </w:r>
      <w:r>
        <w:t>Cash</w:t>
      </w:r>
      <w:r w:rsidRPr="00BE6C3C">
        <w:rPr>
          <w:lang w:val="ru-RU"/>
        </w:rPr>
        <w:t xml:space="preserve"> </w:t>
      </w:r>
      <w:r>
        <w:t>Flow</w:t>
      </w:r>
      <w:r w:rsidRPr="00BE6C3C">
        <w:rPr>
          <w:lang w:val="ru-RU"/>
        </w:rPr>
        <w:t>) за первый год операционной деятельности, демонстрирующий помесячную динамику притоков и оттоков.</w:t>
      </w:r>
    </w:p>
    <w:p w14:paraId="08037748" w14:textId="782F4B83" w:rsidR="001F7619" w:rsidRPr="00BE6C3C" w:rsidRDefault="00445FEA">
      <w:pPr>
        <w:pStyle w:val="FC"/>
        <w:rPr>
          <w:lang w:val="ru-RU"/>
        </w:rPr>
      </w:pPr>
      <w:r w:rsidRPr="00445FEA">
        <w:rPr>
          <w:rFonts w:cs="Liberation Serif"/>
          <w:color w:val="000000"/>
          <w:sz w:val="28"/>
          <w:lang w:val="ru-RU"/>
        </w:rPr>
        <w:lastRenderedPageBreak/>
        <w:drawing>
          <wp:inline distT="0" distB="0" distL="0" distR="0" wp14:anchorId="4970E8E2" wp14:editId="55F4AD7B">
            <wp:extent cx="6152515" cy="337312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AB9" w:rsidRPr="00BE6C3C">
        <w:rPr>
          <w:lang w:val="ru-RU"/>
        </w:rPr>
        <w:t xml:space="preserve">Рисунок 22 – Фрагмент отчёта </w:t>
      </w:r>
      <w:r w:rsidR="00474AB9">
        <w:t>Cash</w:t>
      </w:r>
      <w:r w:rsidR="00474AB9" w:rsidRPr="00BE6C3C">
        <w:rPr>
          <w:lang w:val="ru-RU"/>
        </w:rPr>
        <w:t xml:space="preserve"> </w:t>
      </w:r>
      <w:r w:rsidR="00474AB9">
        <w:t>Flow</w:t>
      </w:r>
    </w:p>
    <w:p w14:paraId="0803CB98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На основании представленных данных можно утверждать, что проект создания производственного предприятия ООО «</w:t>
      </w:r>
      <w:proofErr w:type="spellStart"/>
      <w:r w:rsidRPr="00BE6C3C">
        <w:rPr>
          <w:lang w:val="ru-RU"/>
        </w:rPr>
        <w:t>СигналПром</w:t>
      </w:r>
      <w:proofErr w:type="spellEnd"/>
      <w:r w:rsidRPr="00BE6C3C">
        <w:rPr>
          <w:lang w:val="ru-RU"/>
        </w:rPr>
        <w:t xml:space="preserve">» по выпуску комбинированных пожарных извещателей обладает высокой </w:t>
      </w:r>
      <w:r w:rsidRPr="00BE6C3C">
        <w:rPr>
          <w:lang w:val="ru-RU"/>
        </w:rPr>
        <w:t>экономической эффективностью и приемлемым уровнем инвестиционного риска.</w:t>
      </w:r>
    </w:p>
    <w:p w14:paraId="14A62FCF" w14:textId="77777777" w:rsidR="001F7619" w:rsidRPr="00BE6C3C" w:rsidRDefault="00474AB9">
      <w:pPr>
        <w:pStyle w:val="21"/>
        <w:rPr>
          <w:lang w:val="ru-RU"/>
        </w:rPr>
      </w:pPr>
      <w:r w:rsidRPr="00BE6C3C">
        <w:rPr>
          <w:lang w:val="ru-RU"/>
        </w:rPr>
        <w:t>3.5 Анализ чувствительности</w:t>
      </w:r>
    </w:p>
    <w:p w14:paraId="4684C468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Оценка устойчивости проекта предполагает определение критических значений ключевых параметров, способных существенно повлиять на его экономическую эффектив</w:t>
      </w:r>
      <w:r w:rsidRPr="00BE6C3C">
        <w:rPr>
          <w:lang w:val="ru-RU"/>
        </w:rPr>
        <w:t>ность. Наибольшую значимость для проектируемого предприятия имеют следующие факторы: объём сбыта продукции, цена реализации и прямые издержки (себестоимость комплектующих). Чем шире диапазон, в котором эти показатели могут варьироваться без ущерба для рент</w:t>
      </w:r>
      <w:r w:rsidRPr="00BE6C3C">
        <w:rPr>
          <w:lang w:val="ru-RU"/>
        </w:rPr>
        <w:t>абельности, тем стабильнее проект и ниже риски, связанные с рыночными колебаниями.</w:t>
      </w:r>
    </w:p>
    <w:p w14:paraId="7960E948" w14:textId="124C023F" w:rsidR="00445FEA" w:rsidRDefault="00474AB9">
      <w:pPr>
        <w:pStyle w:val="FC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EF3C76E" wp14:editId="5A97AF59">
                <wp:extent cx="304800" cy="304800"/>
                <wp:effectExtent l="0" t="0" r="0" b="0"/>
                <wp:docPr id="29" name="Прямоугольник 29" descr="Выбранное изображение показано в окне просмотра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19744" id="Прямоугольник 29" o:spid="_x0000_s1026" alt="Выбранное изображение показано в окне просмотра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MSTzNO&#10;AgAAOgQAAA4AAAAAAAAAAAAAAAAALgIAAGRycy9lMm9Eb2MueG1sUEsBAi0AFAAGAAgAAAAhAEyg&#10;6SzYAAAAAwEAAA8AAAAAAAAAAAAAAAAAqAQAAGRycy9kb3ducmV2LnhtbFBLBQYAAAAABAAEAPMA&#10;AACtBQAAAAA=&#10;" filled="f" stroked="f">
                <o:lock v:ext="edit" aspectratio="t"/>
                <w10:anchorlock/>
              </v:rect>
            </w:pict>
          </mc:Fallback>
        </mc:AlternateContent>
      </w:r>
      <w:r w:rsidRPr="00474AB9">
        <w:rPr>
          <w:lang w:val="ru-RU"/>
        </w:rPr>
        <w:drawing>
          <wp:inline distT="0" distB="0" distL="0" distR="0" wp14:anchorId="08FEEA48" wp14:editId="366E72E5">
            <wp:extent cx="5106113" cy="3458058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1150" w14:textId="5F9F327E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>Рисунок 23 – Модуль «Анализ чувствительности» – настройка параметров</w:t>
      </w:r>
    </w:p>
    <w:p w14:paraId="3190FA50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 ходе анализа исследуется допустимое отклонение ключевых параметров (</w:t>
      </w:r>
      <w:r w:rsidRPr="00BE6C3C">
        <w:rPr>
          <w:lang w:val="ru-RU"/>
        </w:rPr>
        <w:t>в диапазоне от –20% до +20% от базового значения) и оценивается их влияние на основные критерии эффективности: чистый дисконтированный доход (</w:t>
      </w:r>
      <w:r>
        <w:t>NPV</w:t>
      </w:r>
      <w:r w:rsidRPr="00BE6C3C">
        <w:rPr>
          <w:lang w:val="ru-RU"/>
        </w:rPr>
        <w:t>), срок окупаемости (</w:t>
      </w:r>
      <w:r>
        <w:t>DPP</w:t>
      </w:r>
      <w:r w:rsidRPr="00BE6C3C">
        <w:rPr>
          <w:lang w:val="ru-RU"/>
        </w:rPr>
        <w:t>) и индекс прибыльности (</w:t>
      </w:r>
      <w:r>
        <w:t>PI</w:t>
      </w:r>
      <w:r w:rsidRPr="00BE6C3C">
        <w:rPr>
          <w:lang w:val="ru-RU"/>
        </w:rPr>
        <w:t>). Результаты представлены в виде графиков, наглядно демонст</w:t>
      </w:r>
      <w:r w:rsidRPr="00BE6C3C">
        <w:rPr>
          <w:lang w:val="ru-RU"/>
        </w:rPr>
        <w:t>рирующих предельные значения, при которых проект сохраняет свою целесообразность.</w:t>
      </w:r>
    </w:p>
    <w:p w14:paraId="0C5385D8" w14:textId="7897F117" w:rsidR="00445FEA" w:rsidRDefault="00DD3887">
      <w:pPr>
        <w:pStyle w:val="FC"/>
        <w:rPr>
          <w:lang w:val="ru-RU"/>
        </w:rPr>
      </w:pPr>
      <w:r w:rsidRPr="00DD3887">
        <w:rPr>
          <w:lang w:val="ru-RU"/>
        </w:rPr>
        <w:lastRenderedPageBreak/>
        <w:drawing>
          <wp:inline distT="0" distB="0" distL="0" distR="0" wp14:anchorId="7808F298" wp14:editId="5A0CFAE7">
            <wp:extent cx="6152515" cy="4359275"/>
            <wp:effectExtent l="0" t="0" r="63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363E" w14:textId="30281251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 xml:space="preserve">Рисунок 24 – Анализ чувствительности по </w:t>
      </w:r>
      <w:r>
        <w:t>NPV</w:t>
      </w:r>
    </w:p>
    <w:p w14:paraId="580AAFAC" w14:textId="0AE88FC4" w:rsidR="00DD3887" w:rsidRDefault="00DD3887">
      <w:pPr>
        <w:pStyle w:val="FC"/>
        <w:rPr>
          <w:lang w:val="ru-RU"/>
        </w:rPr>
      </w:pPr>
      <w:r w:rsidRPr="00DD3887">
        <w:rPr>
          <w:lang w:val="ru-RU"/>
        </w:rPr>
        <w:lastRenderedPageBreak/>
        <w:drawing>
          <wp:inline distT="0" distB="0" distL="0" distR="0" wp14:anchorId="16E01890" wp14:editId="5295F4BD">
            <wp:extent cx="6152515" cy="444436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C00F" w14:textId="3F025885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 xml:space="preserve">Рисунок 25 – Анализ чувствительности по </w:t>
      </w:r>
      <w:r>
        <w:t>DPP</w:t>
      </w:r>
    </w:p>
    <w:p w14:paraId="747F8F4C" w14:textId="261CFE4E" w:rsidR="00DD3887" w:rsidRDefault="00DD3887">
      <w:pPr>
        <w:pStyle w:val="FC"/>
        <w:rPr>
          <w:rFonts w:cs="Liberation Serif"/>
          <w:color w:val="000000"/>
          <w:sz w:val="28"/>
          <w:lang w:val="ru-RU"/>
        </w:rPr>
      </w:pPr>
      <w:r w:rsidRPr="00DD3887">
        <w:rPr>
          <w:rFonts w:cs="Liberation Serif"/>
          <w:color w:val="000000"/>
          <w:sz w:val="28"/>
          <w:lang w:val="ru-RU"/>
        </w:rPr>
        <w:lastRenderedPageBreak/>
        <w:drawing>
          <wp:inline distT="0" distB="0" distL="0" distR="0" wp14:anchorId="4154BE91" wp14:editId="54D46A76">
            <wp:extent cx="6152515" cy="4318635"/>
            <wp:effectExtent l="0" t="0" r="63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E5E7" w14:textId="30241D2A" w:rsidR="001F7619" w:rsidRPr="00BE6C3C" w:rsidRDefault="00474AB9">
      <w:pPr>
        <w:pStyle w:val="FC"/>
        <w:rPr>
          <w:lang w:val="ru-RU"/>
        </w:rPr>
      </w:pPr>
      <w:r w:rsidRPr="00BE6C3C">
        <w:rPr>
          <w:lang w:val="ru-RU"/>
        </w:rPr>
        <w:t xml:space="preserve">Рисунок 26 – Анализ чувствительности по </w:t>
      </w:r>
      <w:r>
        <w:t>PI</w:t>
      </w:r>
    </w:p>
    <w:p w14:paraId="03F9BC18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Результаты анализа чувствительности показывают, что наиболее существенное влияние на эффективность проекта оказывает параметр «объём сбыта». Для поддержания положительного значения NPV и индекса прибыльности выше единицы максимально допустимое снижение объёма продаж составляет 15–20% от планового уровня. Снижение цены реализации критично при отклонении более 15-20%. Рост себестоимости комплектующих допустим в пределах 15-20% без потери рентабельности.</w:t>
      </w:r>
      <w:r/>
      <w:r w:rsidRPr="00BE6C3C">
        <w:rPr>
          <w:lang w:val="ru-RU"/>
        </w:rPr>
      </w:r>
      <w:r w:rsidRPr="00BE6C3C">
        <w:rPr>
          <w:lang w:val="ru-RU"/>
        </w:rPr>
      </w:r>
      <w:r/>
      <w:r w:rsidRPr="00BE6C3C">
        <w:rPr>
          <w:lang w:val="ru-RU"/>
        </w:rPr>
      </w:r>
      <w:r/>
      <w:r w:rsidRPr="00BE6C3C">
        <w:rPr>
          <w:lang w:val="ru-RU"/>
        </w:rPr>
      </w:r>
      <w:r w:rsidRPr="00BE6C3C">
        <w:rPr>
          <w:lang w:val="ru-RU"/>
        </w:rPr>
      </w:r>
      <w:r/>
      <w:r w:rsidRPr="00BE6C3C">
        <w:rPr>
          <w:lang w:val="ru-RU"/>
        </w:rPr>
      </w:r>
    </w:p>
    <w:p w14:paraId="1EB18AC9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Проведённый анализ подтверждает, что при маржинальности продукции на уровне 79% (отпускная цена 1 800 руб. при себестоимости 382 руб.) проект обладает значительным запасом финансовой прочности и </w:t>
      </w:r>
      <w:r w:rsidRPr="00BE6C3C">
        <w:rPr>
          <w:lang w:val="ru-RU"/>
        </w:rPr>
        <w:lastRenderedPageBreak/>
        <w:t>способен сохранять эконом</w:t>
      </w:r>
      <w:r w:rsidRPr="00BE6C3C">
        <w:rPr>
          <w:lang w:val="ru-RU"/>
        </w:rPr>
        <w:t>ическую целесообразность даже при существенных неблагоприятных отклонениях рыночной конъюнктуры.</w:t>
      </w:r>
    </w:p>
    <w:p w14:paraId="1C25FEFD" w14:textId="77777777" w:rsidR="001F7619" w:rsidRPr="00BE6C3C" w:rsidRDefault="00474AB9">
      <w:pPr>
        <w:pStyle w:val="1"/>
        <w:rPr>
          <w:lang w:val="ru-RU"/>
        </w:rPr>
      </w:pPr>
      <w:r w:rsidRPr="00BE6C3C">
        <w:rPr>
          <w:lang w:val="ru-RU"/>
        </w:rPr>
        <w:lastRenderedPageBreak/>
        <w:t>4. Выводы по эффективности предложения</w:t>
      </w:r>
    </w:p>
    <w:p w14:paraId="78B3EBB3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 результате реализации инвестиционного проекта будет создано малое производственное предприятие ООО «</w:t>
      </w:r>
      <w:proofErr w:type="spellStart"/>
      <w:r w:rsidRPr="00BE6C3C">
        <w:rPr>
          <w:lang w:val="ru-RU"/>
        </w:rPr>
        <w:t>СигналПром</w:t>
      </w:r>
      <w:proofErr w:type="spellEnd"/>
      <w:r w:rsidRPr="00BE6C3C">
        <w:rPr>
          <w:lang w:val="ru-RU"/>
        </w:rPr>
        <w:t>», специ</w:t>
      </w:r>
      <w:r w:rsidRPr="00BE6C3C">
        <w:rPr>
          <w:lang w:val="ru-RU"/>
        </w:rPr>
        <w:t xml:space="preserve">ализирующееся на выпуске комбинированных </w:t>
      </w:r>
      <w:proofErr w:type="spellStart"/>
      <w:r w:rsidRPr="00BE6C3C">
        <w:rPr>
          <w:lang w:val="ru-RU"/>
        </w:rPr>
        <w:t>дымо</w:t>
      </w:r>
      <w:proofErr w:type="spellEnd"/>
      <w:r w:rsidRPr="00BE6C3C">
        <w:rPr>
          <w:lang w:val="ru-RU"/>
        </w:rPr>
        <w:t xml:space="preserve">-тепловых пожарных извещателей для </w:t>
      </w:r>
      <w:r>
        <w:t>B</w:t>
      </w:r>
      <w:r w:rsidRPr="00BE6C3C">
        <w:rPr>
          <w:lang w:val="ru-RU"/>
        </w:rPr>
        <w:t>2</w:t>
      </w:r>
      <w:r>
        <w:t>B</w:t>
      </w:r>
      <w:r w:rsidRPr="00BE6C3C">
        <w:rPr>
          <w:lang w:val="ru-RU"/>
        </w:rPr>
        <w:t xml:space="preserve">-сегмента монтажных организаций. Предприятие размещается на производственной площадке площадью 142,5 м² по адресу: г. Рязань, ул. </w:t>
      </w:r>
      <w:proofErr w:type="spellStart"/>
      <w:r w:rsidRPr="00BE6C3C">
        <w:rPr>
          <w:lang w:val="ru-RU"/>
        </w:rPr>
        <w:t>Радиозаводская</w:t>
      </w:r>
      <w:proofErr w:type="spellEnd"/>
      <w:r w:rsidRPr="00BE6C3C">
        <w:rPr>
          <w:lang w:val="ru-RU"/>
        </w:rPr>
        <w:t>, д. 2. Проектная мощность со</w:t>
      </w:r>
      <w:r w:rsidRPr="00BE6C3C">
        <w:rPr>
          <w:lang w:val="ru-RU"/>
        </w:rPr>
        <w:t>ставляет 700 изделий в месяц (8 400 изделий в год) с выходом на полную загрузку в течение 12 месяцев операционной деятельности.</w:t>
      </w:r>
    </w:p>
    <w:p w14:paraId="29663049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Ключевым технологическим решением проекта является модель гибридной автоматизации: капиталоёмкие операции </w:t>
      </w:r>
      <w:r>
        <w:t>SMT</w:t>
      </w:r>
      <w:r w:rsidRPr="00BE6C3C">
        <w:rPr>
          <w:lang w:val="ru-RU"/>
        </w:rPr>
        <w:t>-монтажа печатных п</w:t>
      </w:r>
      <w:r w:rsidRPr="00BE6C3C">
        <w:rPr>
          <w:lang w:val="ru-RU"/>
        </w:rPr>
        <w:t>лат и литья пластиковых корпусов передаются на контрактное производство, а на собственной площадке реализуется 100% автоматизированный выходной контроль качества каждого изделия на комбинированном стенде «СИ–ТДК». Данный подход обеспечивает конкурентное пр</w:t>
      </w:r>
      <w:r w:rsidRPr="00BE6C3C">
        <w:rPr>
          <w:lang w:val="ru-RU"/>
        </w:rPr>
        <w:t>еимущество перед крупными производителями, применяющими статистический выборочный контроль, и позволяет гарантировать заказчикам отсутствие скрытого производственного брака.</w:t>
      </w:r>
    </w:p>
    <w:p w14:paraId="5057168B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Экономические расчёты, выполненные в программном комплексе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6 </w:t>
      </w:r>
      <w:r>
        <w:t>Holding</w:t>
      </w:r>
      <w:r w:rsidRPr="00BE6C3C">
        <w:rPr>
          <w:lang w:val="ru-RU"/>
        </w:rPr>
        <w:t>, подтверждают эффективность проекта по всем интегральным критериям:</w:t>
      </w:r>
    </w:p>
    <w:p w14:paraId="3808AAEA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чистый дисконтированный доход (</w:t>
      </w:r>
      <w:r>
        <w:t>NPV</w:t>
      </w:r>
      <w:r w:rsidRPr="00BE6C3C">
        <w:rPr>
          <w:lang w:val="ru-RU"/>
        </w:rPr>
        <w:t>) составляет 2 461 669 рублей, что свидетельствует о создании добавленной стоимости сверх требуемой нормы доходности;</w:t>
      </w:r>
    </w:p>
    <w:p w14:paraId="3F91935F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внутренняя норма доходн</w:t>
      </w:r>
      <w:r w:rsidRPr="00BE6C3C">
        <w:rPr>
          <w:lang w:val="ru-RU"/>
        </w:rPr>
        <w:t>ости (</w:t>
      </w:r>
      <w:r>
        <w:t>IRR</w:t>
      </w:r>
      <w:r w:rsidRPr="00BE6C3C">
        <w:rPr>
          <w:lang w:val="ru-RU"/>
        </w:rPr>
        <w:t>) равна 35,67%, превышая ставку дисконтирования (16%) и стоимость заёмного капитала (12%);</w:t>
      </w:r>
    </w:p>
    <w:p w14:paraId="4ECF7E79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lastRenderedPageBreak/>
        <w:t>– индекс прибыльности (</w:t>
      </w:r>
      <w:r>
        <w:t>PI</w:t>
      </w:r>
      <w:r w:rsidRPr="00BE6C3C">
        <w:rPr>
          <w:lang w:val="ru-RU"/>
        </w:rPr>
        <w:t>) составляет 1,31, подтверждая, что каждый вложенный рубль генерирует более одного рубля дисконтированного дохода;</w:t>
      </w:r>
    </w:p>
    <w:p w14:paraId="0933D56E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дис</w:t>
      </w:r>
      <w:r w:rsidRPr="00BE6C3C">
        <w:rPr>
          <w:lang w:val="ru-RU"/>
        </w:rPr>
        <w:t>контированный срок окупаемости (</w:t>
      </w:r>
      <w:r>
        <w:t>DPP</w:t>
      </w:r>
      <w:r w:rsidRPr="00BE6C3C">
        <w:rPr>
          <w:lang w:val="ru-RU"/>
        </w:rPr>
        <w:t>) составляет 30 месяцев, что находится в пределах горизонта планирования (36 месяцев);</w:t>
      </w:r>
    </w:p>
    <w:p w14:paraId="248F9EE6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– запас финансовой прочности проекта позволяет выдержать снижение объёмов продаж до 15-20% без потери рентабельности.</w:t>
      </w:r>
    </w:p>
    <w:p w14:paraId="34CFB167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Сов</w:t>
      </w:r>
      <w:r w:rsidRPr="00BE6C3C">
        <w:rPr>
          <w:lang w:val="ru-RU"/>
        </w:rPr>
        <w:t>окупный бюджет капитальных вложений составляет 4 795 тыс. рублей, финансируемых за счёт собственных средств учредителей (3 000 тыс. руб.) и банковского кредита МСП (2 000 тыс. руб. под 12% годовых на 36 мес.). Годовая выручка на проектной мощности прогнози</w:t>
      </w:r>
      <w:r w:rsidRPr="00BE6C3C">
        <w:rPr>
          <w:lang w:val="ru-RU"/>
        </w:rPr>
        <w:t>руется на уровне 18,66 млн рублей, что не превышает порогового значения для применения упрощённой системы налогообложения без уплаты НДС.</w:t>
      </w:r>
    </w:p>
    <w:p w14:paraId="1ED579B6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Анализ чувствительности подтверждает устойчивость проекта к неблагоприятным рыночным сценариям. Высокая маржинальность</w:t>
      </w:r>
      <w:r w:rsidRPr="00BE6C3C">
        <w:rPr>
          <w:lang w:val="ru-RU"/>
        </w:rPr>
        <w:t xml:space="preserve"> продукции (79%) обеспечивает значительный запас прочности при колебаниях спроса и стоимости комплектующих. Проект в полной мере отвечает критериям инвестиционной привлекательности и рекомендуется к реализации.</w:t>
      </w:r>
    </w:p>
    <w:p w14:paraId="7EAB04EB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Таким образом, цели и задачи, поставленные пе</w:t>
      </w:r>
      <w:r w:rsidRPr="00BE6C3C">
        <w:rPr>
          <w:lang w:val="ru-RU"/>
        </w:rPr>
        <w:t>ред выпускной квалификационной работой, были полностью достигнуты и успешно выполнены.</w:t>
      </w:r>
    </w:p>
    <w:p w14:paraId="01E8A85B" w14:textId="77777777" w:rsidR="001F7619" w:rsidRPr="00BE6C3C" w:rsidRDefault="00474AB9">
      <w:pPr>
        <w:pStyle w:val="1"/>
        <w:rPr>
          <w:lang w:val="ru-RU"/>
        </w:rPr>
      </w:pPr>
      <w:r w:rsidRPr="00BE6C3C">
        <w:rPr>
          <w:lang w:val="ru-RU"/>
        </w:rPr>
        <w:lastRenderedPageBreak/>
        <w:t>ЗАКЛЮЧЕНИЕ</w:t>
      </w:r>
    </w:p>
    <w:p w14:paraId="558F5DA2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В ходе выполнения выпускной квалификационной работы был разработан инвестиционный проект производственного предприятия по выпуску </w:t>
      </w:r>
      <w:r w:rsidRPr="00BE6C3C">
        <w:rPr>
          <w:lang w:val="ru-RU"/>
        </w:rPr>
        <w:t>комбинированных пожарных извещателей. Работа выполнена в соответствии с поставленной целью и решает все сформулированные задачи.</w:t>
      </w:r>
    </w:p>
    <w:p w14:paraId="780800FE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В первой главе проведён анализ технико-экономического обоснования проекта. Обоснована целесообразность создания предприятия на </w:t>
      </w:r>
      <w:r w:rsidRPr="00BE6C3C">
        <w:rPr>
          <w:lang w:val="ru-RU"/>
        </w:rPr>
        <w:t xml:space="preserve">основе модели гибридной автоматизации, проанализирован рынок пожарной сигнализации Российской Федерации (объём 54 млрд руб. в 2025 году, </w:t>
      </w:r>
      <w:r>
        <w:t>CAGR</w:t>
      </w:r>
      <w:r w:rsidRPr="00BE6C3C">
        <w:rPr>
          <w:lang w:val="ru-RU"/>
        </w:rPr>
        <w:t xml:space="preserve"> 7–10%), выявлены ключевые драйверы спроса (запрет параллельного импорта, введение технологического сбора, ужесточе</w:t>
      </w:r>
      <w:r w:rsidRPr="00BE6C3C">
        <w:rPr>
          <w:lang w:val="ru-RU"/>
        </w:rPr>
        <w:t xml:space="preserve">ние ГОСТ Р 53325-2024 и СП 484.1311500.2020) и обоснован выбор программного комплекса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6 </w:t>
      </w:r>
      <w:r>
        <w:t>Holding</w:t>
      </w:r>
      <w:r w:rsidRPr="00BE6C3C">
        <w:rPr>
          <w:lang w:val="ru-RU"/>
        </w:rPr>
        <w:t xml:space="preserve"> в качестве инструмента финансового моделирования.</w:t>
      </w:r>
    </w:p>
    <w:p w14:paraId="661B0BC1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Во второй главе сформулированы теоретические основы оценки эффективности инвестиционного проект</w:t>
      </w:r>
      <w:r w:rsidRPr="00BE6C3C">
        <w:rPr>
          <w:lang w:val="ru-RU"/>
        </w:rPr>
        <w:t>а. Рассмотрены методы дисконтирования денежных потоков, определены ключевые показатели эффективности (</w:t>
      </w:r>
      <w:r>
        <w:t>NPV</w:t>
      </w:r>
      <w:r w:rsidRPr="00BE6C3C">
        <w:rPr>
          <w:lang w:val="ru-RU"/>
        </w:rPr>
        <w:t xml:space="preserve">, </w:t>
      </w:r>
      <w:r>
        <w:t>IRR</w:t>
      </w:r>
      <w:r w:rsidRPr="00BE6C3C">
        <w:rPr>
          <w:lang w:val="ru-RU"/>
        </w:rPr>
        <w:t xml:space="preserve">, </w:t>
      </w:r>
      <w:r>
        <w:t>PI</w:t>
      </w:r>
      <w:r w:rsidRPr="00BE6C3C">
        <w:rPr>
          <w:lang w:val="ru-RU"/>
        </w:rPr>
        <w:t xml:space="preserve">, </w:t>
      </w:r>
      <w:r>
        <w:t>DPP</w:t>
      </w:r>
      <w:r w:rsidRPr="00BE6C3C">
        <w:rPr>
          <w:lang w:val="ru-RU"/>
        </w:rPr>
        <w:t>), а также обоснована необходимость проведения анализа безубыточности и чувствительности для подтверждения устойчивости проекта к внешним</w:t>
      </w:r>
      <w:r w:rsidRPr="00BE6C3C">
        <w:rPr>
          <w:lang w:val="ru-RU"/>
        </w:rPr>
        <w:t xml:space="preserve"> факторам.</w:t>
      </w:r>
    </w:p>
    <w:p w14:paraId="369ED224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В третьей главе разработана проектная часть: определены исходные данные (характеристика предприятия ООО «</w:t>
      </w:r>
      <w:proofErr w:type="spellStart"/>
      <w:r w:rsidRPr="00BE6C3C">
        <w:rPr>
          <w:lang w:val="ru-RU"/>
        </w:rPr>
        <w:t>СигналПром</w:t>
      </w:r>
      <w:proofErr w:type="spellEnd"/>
      <w:r w:rsidRPr="00BE6C3C">
        <w:rPr>
          <w:lang w:val="ru-RU"/>
        </w:rPr>
        <w:t>», месторасположение в г. Рязани, состав оборудования общей стоимостью 4 795 тыс. руб., номенклатура продукции с себестоимостью 38</w:t>
      </w:r>
      <w:r w:rsidRPr="00BE6C3C">
        <w:rPr>
          <w:lang w:val="ru-RU"/>
        </w:rPr>
        <w:t xml:space="preserve">2 руб./шт.), составлен календарный план инвестиционной фазы (4 месяца), детально описана система автоматизированного управления качеством на базе </w:t>
      </w:r>
      <w:r w:rsidRPr="00BE6C3C">
        <w:rPr>
          <w:lang w:val="ru-RU"/>
        </w:rPr>
        <w:lastRenderedPageBreak/>
        <w:t xml:space="preserve">комбинированного стенда «СИ–ТДК» с </w:t>
      </w:r>
      <w:r>
        <w:t>MES</w:t>
      </w:r>
      <w:r w:rsidRPr="00BE6C3C">
        <w:rPr>
          <w:lang w:val="ru-RU"/>
        </w:rPr>
        <w:t>-системой сквозной прослеживаемости продукции. Выполнено внесение данных</w:t>
      </w:r>
      <w:r w:rsidRPr="00BE6C3C">
        <w:rPr>
          <w:lang w:val="ru-RU"/>
        </w:rPr>
        <w:t xml:space="preserve"> в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и получены результаты финансового моделирования, подтвердившие экономическую эффективность проекта.</w:t>
      </w:r>
    </w:p>
    <w:p w14:paraId="05F07F8E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 xml:space="preserve">В четвёртой главе сформулированы выводы по эффективности предложения. Показатели </w:t>
      </w:r>
      <w:r>
        <w:t>NPV</w:t>
      </w:r>
      <w:r w:rsidRPr="00BE6C3C">
        <w:rPr>
          <w:lang w:val="ru-RU"/>
        </w:rPr>
        <w:t xml:space="preserve">, </w:t>
      </w:r>
      <w:r>
        <w:t>IRR</w:t>
      </w:r>
      <w:r w:rsidRPr="00BE6C3C">
        <w:rPr>
          <w:lang w:val="ru-RU"/>
        </w:rPr>
        <w:t xml:space="preserve">, </w:t>
      </w:r>
      <w:r>
        <w:t>PI</w:t>
      </w:r>
      <w:r w:rsidRPr="00BE6C3C">
        <w:rPr>
          <w:lang w:val="ru-RU"/>
        </w:rPr>
        <w:t xml:space="preserve"> и </w:t>
      </w:r>
      <w:r>
        <w:t>DPP</w:t>
      </w:r>
      <w:r w:rsidRPr="00BE6C3C">
        <w:rPr>
          <w:lang w:val="ru-RU"/>
        </w:rPr>
        <w:t xml:space="preserve"> соответствуют критериям инвестиционной</w:t>
      </w:r>
      <w:r w:rsidRPr="00BE6C3C">
        <w:rPr>
          <w:lang w:val="ru-RU"/>
        </w:rPr>
        <w:t xml:space="preserve"> привлекательности. Анализ чувствительности подтвердил устойчивость проекта к неблагоприятным рыночным сценариям.</w:t>
      </w:r>
    </w:p>
    <w:p w14:paraId="765A2135" w14:textId="77777777" w:rsidR="001F7619" w:rsidRPr="00BE6C3C" w:rsidRDefault="00474AB9">
      <w:pPr>
        <w:rPr>
          <w:lang w:val="ru-RU"/>
        </w:rPr>
      </w:pPr>
      <w:r w:rsidRPr="00BE6C3C">
        <w:rPr>
          <w:lang w:val="ru-RU"/>
        </w:rPr>
        <w:t>Практическая значимость работы состоит в том, что разработанная модель может быть использована как основа для подготовки бизнес-плана, обоснов</w:t>
      </w:r>
      <w:r w:rsidRPr="00BE6C3C">
        <w:rPr>
          <w:lang w:val="ru-RU"/>
        </w:rPr>
        <w:t>ания заявки на привлечение финансирования (в том числе через программы льготного кредитования МСП и грантовые механизмы центров «Мой бизнес»), а также для адаптации проекта к конкретным региональным и технологическим условиям. Результаты работы демонстриру</w:t>
      </w:r>
      <w:r w:rsidRPr="00BE6C3C">
        <w:rPr>
          <w:lang w:val="ru-RU"/>
        </w:rPr>
        <w:t>ют практическую реализуемость принципов автоматизации технологических процессов на малом производственном предприятии радиоэлектронной отрасли, что соответствует направлению подготовки 15.03.04 «Автоматизация технологических процессов и производств».</w:t>
      </w:r>
    </w:p>
    <w:sectPr w:rsidR="001F7619" w:rsidRPr="00BE6C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D22"/>
    <w:rsid w:val="001E74C6"/>
    <w:rsid w:val="001F7619"/>
    <w:rsid w:val="0029639D"/>
    <w:rsid w:val="00326F90"/>
    <w:rsid w:val="00445FEA"/>
    <w:rsid w:val="00452BE2"/>
    <w:rsid w:val="00474AB9"/>
    <w:rsid w:val="006A6139"/>
    <w:rsid w:val="00801D74"/>
    <w:rsid w:val="00AA1D8D"/>
    <w:rsid w:val="00B47730"/>
    <w:rsid w:val="00BE6C3C"/>
    <w:rsid w:val="00CB0664"/>
    <w:rsid w:val="00CE123D"/>
    <w:rsid w:val="00DD3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556D9"/>
  <w14:defaultImageDpi w14:val="300"/>
  <w15:docId w15:val="{148CA690-1AF6-496A-BD81-993BF39A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Liberation Serif" w:hAnsi="Liberation Serif" w:cs="Liberation Serif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ind w:firstLine="0"/>
      <w:jc w:val="center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C">
    <w:name w:val="FC"/>
    <w:pPr>
      <w:spacing w:before="120" w:after="240" w:line="240" w:lineRule="auto"/>
      <w:jc w:val="center"/>
    </w:pPr>
    <w:rPr>
      <w:rFonts w:ascii="Liberation Serif" w:hAnsi="Liberation Seri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28</Pages>
  <Words>2743</Words>
  <Characters>15637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</cp:lastModifiedBy>
  <cp:revision>2</cp:revision>
  <dcterms:created xsi:type="dcterms:W3CDTF">2013-12-23T23:15:00Z</dcterms:created>
  <dcterms:modified xsi:type="dcterms:W3CDTF">2026-05-14T17:49:00Z</dcterms:modified>
  <cp:category/>
</cp:coreProperties>
</file>