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1C9D5" w14:textId="77777777" w:rsidR="00C3624B" w:rsidRPr="007E4C1E" w:rsidRDefault="00C3624B" w:rsidP="00C3624B">
      <w:pPr>
        <w:spacing w:after="240"/>
        <w:jc w:val="center"/>
        <w:rPr>
          <w:lang w:val="ru-RU"/>
        </w:rPr>
      </w:pPr>
      <w:r w:rsidRPr="007E4C1E">
        <w:rPr>
          <w:b/>
          <w:lang w:val="ru-RU"/>
        </w:rPr>
        <w:t>ВВЕДЕНИЕ</w:t>
      </w:r>
    </w:p>
    <w:p w14:paraId="1A88B3BE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В условиях масштабной трансформации российского рынка средств пожарной безопасности, обусловленной ужесточением нормативно-технической базы, запретом параллельного импорта противопожарной продукции и государственной политикой импортозамещения в радиоэлектронной промышленности, разработка инвестиционного проекта производственного предприятия приобретает высокую практическую значимость. Совокупность этих факторов формирует устойчивый спрос на продукцию отечественных производителей в сфере пожарной автоматики и создаёт благоприятные условия для входа новых игроков в сегмент малосерийного производства.</w:t>
      </w:r>
    </w:p>
    <w:p w14:paraId="09643ED1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Целью преддипломной практики является сбор, систематизация и обобщение материалов, необходимых для разработки выпускной квалификационной работы на тему «Инвестиционный проект производственного предприятия».</w:t>
      </w:r>
    </w:p>
    <w:p w14:paraId="65CA93A4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>Для достижения цели поставлены следующие задачи:</w:t>
      </w:r>
    </w:p>
    <w:p w14:paraId="278EF1DE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1) изучить нормативно-правовую базу в области инвестиционного проектирования и пожарной безопасности: Федеральный закон «Об инвестиционной деятельности в РФ», методические рекомендации по оценке эффективности инвестиционных проектов, ГОСТ Р 53325-2024, ТР ЕАЭС 043/2017, СП 484.1311500.2020;</w:t>
      </w:r>
    </w:p>
    <w:p w14:paraId="31E18BB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2) провести технико-экономический анализ рынка систем пожарной сигнализации Российской Федерации, обосновать цели открытия предприятия и сформулировать постановку задачи инвестиционного проекта;</w:t>
      </w:r>
    </w:p>
    <w:p w14:paraId="34B9E2E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3) разработать производственную и организационную модель предприятия, включая технологический процесс сборки, автоматизированную систему управления качеством и календарный план реализации проекта;</w:t>
      </w:r>
    </w:p>
    <w:p w14:paraId="5A431960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4) построить финансовую модель инвестиционного проекта в программном комплексе Project Expert, рассчитать интегральные показатели эффективности и провести анализ чувствительности.</w:t>
      </w:r>
    </w:p>
    <w:p w14:paraId="5B316711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Объектом исследования выступает малое производственное предприятие ООО «СигналПром» как субъект инвестиционной и операционной деятельности в сфере радиоэлектронной промышленности. 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дымо-тепловых пожарных извещателей с применением автоматизированных систем контроля качества. Информационную базу составили нормативно-правовые акты РФ, статистические данные Росстата и Банка России, аналитические материалы Минпромторга и Корпорации МСП.</w:t>
      </w:r>
    </w:p>
    <w:p w14:paraId="114BE64C" w14:textId="77777777" w:rsidR="00C3624B" w:rsidRPr="007E4C1E" w:rsidRDefault="00C3624B" w:rsidP="00C3624B">
      <w:pPr>
        <w:jc w:val="center"/>
        <w:rPr>
          <w:lang w:val="ru-RU"/>
        </w:rPr>
      </w:pPr>
      <w:r w:rsidRPr="007E4C1E">
        <w:rPr>
          <w:b/>
          <w:lang w:val="ru-RU"/>
        </w:rPr>
        <w:lastRenderedPageBreak/>
        <w:t xml:space="preserve">1 ТЕХНИКО-ЭКОНОМИЧЕСКОЕ ОБОСНОВАНИЕ ПРОЕКТА</w:t>
      </w:r>
    </w:p>
    <w:p w14:paraId="27CEB366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Разработка инвестиционного проекта производственного предприятия потребовала комплексного анализа нескольких взаимосвязанных составляющих: обоснования целей открытия предприятия, детального изучения состояния рынка систем пожарной сигнализации Российской Федерации и выбора специализированного программного инструмента для построения финансовой модели. Начало проекта определено на 1 марта 2026 года; выход на операционную деятельность — с 1 июля 2026 года, по завершении четырёхмесячной инвестиционной фазы, включающей подготовку помещения, закупку оборудования и прохождение сертификации по ТР ЕАЭС 043/2017.</w:t>
      </w:r>
    </w:p>
    <w:p w14:paraId="3FC515F7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Целью инвестиционного проекта является создание малого производственного предприятия ООО «СигналПром», ориентированного на серийный выпуск комбинированных дымо-тепловых пожарных извещателей ИПК 212/101-1-СП «Сигнал» для B2B-сегмента — монтажных организаций и поставщиков оборудования систем безопасности. Ключевыми драйверами создания предприятия являются: запрет параллельного импорта противопожарной продукции (Приказ Минпромторга №4611 от 08.10.2024); обновлённые требования ГОСТ Р 53325-2024 и СП 484.1311500.2020 (Изменение №1); введение технологического сбора на импортируемую готовую электронику с 1 сентября 2026 года.</w:t>
      </w:r>
    </w:p>
    <w:p w14:paraId="06E86A45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По итогам 2025 года объём российского рынка пожарной автоматики достиг 54 млрд рублей (рост +10% к 2024 году); прогноз на 2026 год — около 58,8 млрд рублей (+8,9%). Строительный сектор выступает фундаментальным драйвером спроса: в 2025 году введено 116,4 млн м² жилья, в том числе 62,1 млн м² ИЖС, и рекордный объём складской недвижимости (~8 млн м²). Каждый введённый объект в соответствии с Федеральным законом №123-ФЗ обязан быть оснащён системами пожарной автоматики.</w:t>
      </w:r>
    </w:p>
    <w:p w14:paraId="1D417BC3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Принятая производственная модель — гибридная автоматизация: капиталоёмкие операции (SMT-монтаж печатных плат, литьё пластиковых корпусов) передаются контрактному производителю «Резонит», а операции с наивысшей добавленной стоимостью — финишная сборка, программирование микроконтроллеров и 100% автоматизированное метрологическое тестирование — выполняются на собственной площадке. Для построения финансовой модели выбран Project Expert 6 Holding как специализированный инструмент с автоматическим расчётом NPV, IRR, PI, DPP и поддержкой сценарного анализа.</w:t>
      </w:r>
    </w:p>
    <w:p w14:paraId="74359F22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Таблица 1.1 — Спецификация технологического оборудования сборочного участка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1417"/>
        <w:gridCol w:w="1984"/>
      </w:tblGrid>
      <w:tr w:rsidR="00C3624B" w14:paraId="62C5DF7F" w14:textId="77777777" w:rsidTr="00777A9A">
        <w:trPr>
          <w:jc w:val="center"/>
        </w:trPr>
        <w:tc>
          <w:tcPr>
            <w:tcW w:w="2268" w:type="dxa"/>
            <w:vAlign w:val="center"/>
          </w:tcPr>
          <w:p w14:paraId="4826DD80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Позиция</w:t>
            </w:r>
          </w:p>
        </w:tc>
        <w:tc>
          <w:tcPr>
            <w:tcW w:w="3402" w:type="dxa"/>
            <w:vAlign w:val="center"/>
          </w:tcPr>
          <w:p w14:paraId="160C64F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b/>
                <w:sz w:val="22"/>
              </w:rPr>
              <w:t xml:space="preserve">Модель / описание</w:t>
            </w:r>
          </w:p>
        </w:tc>
        <w:tc>
          <w:tcPr>
            <w:tcW w:w="1417" w:type="dxa"/>
            <w:vAlign w:val="center"/>
          </w:tcPr>
          <w:p w14:paraId="748A6664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22"/>
              </w:rPr>
              <w:t xml:space="preserve">Мощн., кВт</w:t>
            </w:r>
          </w:p>
        </w:tc>
        <w:tc>
          <w:tcPr>
            <w:tcW w:w="1984" w:type="dxa"/>
            <w:vAlign w:val="center"/>
          </w:tcPr>
          <w:p w14:paraId="7C870488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22"/>
              </w:rPr>
              <w:t xml:space="preserve">Стоимость, руб.</w:t>
            </w:r>
          </w:p>
        </w:tc>
      </w:tr>
      <w:tr w:rsidR="00C3624B" w14:paraId="3EC49D72" w14:textId="77777777" w:rsidTr="00777A9A">
        <w:trPr>
          <w:jc w:val="center"/>
        </w:trPr>
        <w:tc>
          <w:tcPr>
            <w:tcW w:w="2268" w:type="dxa"/>
            <w:vAlign w:val="center"/>
          </w:tcPr>
          <w:p w14:paraId="5C1C0259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Монтажный стол ESD</w:t>
            </w:r>
          </w:p>
        </w:tc>
        <w:tc>
          <w:tcPr>
            <w:tcW w:w="3402" w:type="dxa"/>
            <w:vAlign w:val="center"/>
          </w:tcPr>
          <w:p w14:paraId="3992E9CC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Антистатический стол сборщика РЭА, 1200×600 мм</w:t>
            </w:r>
          </w:p>
        </w:tc>
        <w:tc>
          <w:tcPr>
            <w:tcW w:w="1417" w:type="dxa"/>
            <w:vAlign w:val="center"/>
          </w:tcPr>
          <w:p w14:paraId="54200C4D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—</w:t>
            </w:r>
          </w:p>
        </w:tc>
        <w:tc>
          <w:tcPr>
            <w:tcW w:w="1984" w:type="dxa"/>
            <w:vAlign w:val="center"/>
          </w:tcPr>
          <w:p w14:paraId="6C84D3F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96 000</w:t>
            </w:r>
          </w:p>
        </w:tc>
      </w:tr>
      <w:tr w:rsidR="00C3624B" w14:paraId="63246458" w14:textId="77777777" w:rsidTr="00777A9A">
        <w:trPr>
          <w:jc w:val="center"/>
        </w:trPr>
        <w:tc>
          <w:tcPr>
            <w:tcW w:w="2268" w:type="dxa"/>
            <w:vAlign w:val="center"/>
          </w:tcPr>
          <w:p w14:paraId="17D8FBDA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Паяльная станция</w:t>
            </w:r>
          </w:p>
        </w:tc>
        <w:tc>
          <w:tcPr>
            <w:tcW w:w="3402" w:type="dxa"/>
            <w:vAlign w:val="center"/>
          </w:tcPr>
          <w:p w14:paraId="7A42A113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Lukey 702 ESD, температурная</w:t>
            </w:r>
          </w:p>
        </w:tc>
        <w:tc>
          <w:tcPr>
            <w:tcW w:w="1417" w:type="dxa"/>
            <w:vAlign w:val="center"/>
          </w:tcPr>
          <w:p w14:paraId="692A4FA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w="1984" w:type="dxa"/>
            <w:vAlign w:val="center"/>
          </w:tcPr>
          <w:p w14:paraId="173EE6AE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18 000</w:t>
            </w:r>
          </w:p>
        </w:tc>
      </w:tr>
      <w:tr w:rsidR="00C3624B" w14:paraId="2F4C3B64" w14:textId="77777777" w:rsidTr="00777A9A">
        <w:trPr>
          <w:jc w:val="center"/>
        </w:trPr>
        <w:tc>
          <w:tcPr>
            <w:tcW w:w="2268" w:type="dxa"/>
            <w:vAlign w:val="center"/>
          </w:tcPr>
          <w:p w14:paraId="062A7A96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Стенд программирования</w:t>
            </w:r>
          </w:p>
        </w:tc>
        <w:tc>
          <w:tcPr>
            <w:tcW w:w="3402" w:type="dxa"/>
            <w:vAlign w:val="center"/>
          </w:tcPr>
          <w:p w14:paraId="26AD6E36" w14:textId="77777777" w:rsidR="00C3624B" w:rsidRPr="007E4C1E" w:rsidRDefault="00C3624B" w:rsidP="00777A9A">
            <w:pPr>
              <w:spacing w:line="240" w:lineRule="auto"/>
              <w:jc w:val="center"/>
              <w:rPr>
                <w:lang w:val="ru-RU"/>
              </w:rPr>
            </w:pPr>
            <w:r w:rsidRPr="007E4C1E">
              <w:rPr>
                <w:sz w:val="22"/>
                <w:lang w:val="ru-RU"/>
              </w:rPr>
              <w:t xml:space="preserve">Программатор J-Link Ultra+ + адаптеры + ПО</w:t>
            </w:r>
          </w:p>
        </w:tc>
        <w:tc>
          <w:tcPr>
            <w:tcW w:w="1417" w:type="dxa"/>
            <w:vAlign w:val="center"/>
          </w:tcPr>
          <w:p w14:paraId="6669DD6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w="1984" w:type="dxa"/>
            <w:vAlign w:val="center"/>
          </w:tcPr>
          <w:p w14:paraId="06601682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76 000</w:t>
            </w:r>
          </w:p>
        </w:tc>
      </w:tr>
      <w:tr w:rsidR="00C3624B" w14:paraId="1C58D850" w14:textId="77777777" w:rsidTr="00777A9A">
        <w:trPr>
          <w:jc w:val="center"/>
        </w:trPr>
        <w:tc>
          <w:tcPr>
            <w:tcW w:w="2268" w:type="dxa"/>
            <w:vAlign w:val="center"/>
          </w:tcPr>
          <w:p w14:paraId="1A8F2DB8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Стенд дымового канала</w:t>
            </w:r>
          </w:p>
        </w:tc>
        <w:tc>
          <w:tcPr>
            <w:tcW w:w="3402" w:type="dxa"/>
            <w:vAlign w:val="center"/>
          </w:tcPr>
          <w:p w14:paraId="01D99CC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Аэродинамическая камера с аэрозольным генератором</w:t>
            </w:r>
          </w:p>
        </w:tc>
        <w:tc>
          <w:tcPr>
            <w:tcW w:w="1417" w:type="dxa"/>
            <w:vAlign w:val="center"/>
          </w:tcPr>
          <w:p w14:paraId="146022D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0,5</w:t>
            </w:r>
          </w:p>
        </w:tc>
        <w:tc>
          <w:tcPr>
            <w:tcW w:w="1984" w:type="dxa"/>
            <w:vAlign w:val="center"/>
          </w:tcPr>
          <w:p w14:paraId="47261DF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320 000</w:t>
            </w:r>
          </w:p>
        </w:tc>
      </w:tr>
      <w:tr w:rsidR="00C3624B" w14:paraId="1E22DE26" w14:textId="77777777" w:rsidTr="00777A9A">
        <w:trPr>
          <w:jc w:val="center"/>
        </w:trPr>
        <w:tc>
          <w:tcPr>
            <w:tcW w:w="2268" w:type="dxa"/>
            <w:vAlign w:val="center"/>
          </w:tcPr>
          <w:p w14:paraId="176F3C66" w14:textId="77777777" w:rsidR="00C3624B" w:rsidRDefault="00C3624B" w:rsidP="00777A9A">
            <w:pPr>
              <w:spacing w:line="240" w:lineRule="auto"/>
            </w:pPr>
            <w:r>
              <w:rPr>
                <w:sz w:val="22"/>
              </w:rPr>
              <w:t xml:space="preserve">Стенд теплового канала</w:t>
            </w:r>
          </w:p>
        </w:tc>
        <w:tc>
          <w:tcPr>
            <w:tcW w:w="3402" w:type="dxa"/>
            <w:vAlign w:val="center"/>
          </w:tcPr>
          <w:p w14:paraId="216CC589" w14:textId="77777777" w:rsidR="00C3624B" w:rsidRDefault="00C3624B" w:rsidP="00777A9A">
            <w:pPr>
              <w:spacing w:line="240" w:lineRule="auto"/>
              <w:jc w:val="center"/>
            </w:pPr>
            <w:r>
              <w:t xml:space="preserve">Климатическая камера, ТЭН, ПИД-регулятор</w:t>
            </w:r>
          </w:p>
        </w:tc>
        <w:tc>
          <w:tcPr>
            <w:tcW w:w="1417" w:type="dxa"/>
            <w:vAlign w:val="center"/>
          </w:tcPr>
          <w:p w14:paraId="64E2E040" w14:textId="77777777" w:rsidR="00C3624B" w:rsidRDefault="00C3624B" w:rsidP="00777A9A">
            <w:pPr>
              <w:spacing w:line="240" w:lineRule="auto"/>
              <w:jc w:val="center"/>
            </w:pPr>
            <w:r>
              <w:t xml:space="preserve">2,0</w:t>
            </w:r>
          </w:p>
        </w:tc>
        <w:tc>
          <w:tcPr>
            <w:tcW w:w="1984" w:type="dxa"/>
            <w:vAlign w:val="center"/>
          </w:tcPr>
          <w:p w14:paraId="6EC1DC0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280 000</w:t>
            </w:r>
          </w:p>
        </w:tc>
      </w:tr>
    </w:tbl>
    <w:p w14:paraId="3AB116F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Совокупная стоимость технологического оборудования собственного сборочного участка составляет 1 224 000 руб. Финансирование проекта осуществляется из двух источников: собственные средства учредителей — 3 000 000 руб. (60,3%), банковский кредит — 1 974 482 руб. (39,7%) на 24 месяца. Совокупный бюджет CAPEX — 4 974 482 руб.</w:t>
      </w:r>
    </w:p>
    <w:p w14:paraId="36CB06A7" w14:textId="77777777" w:rsidR="00C3624B" w:rsidRPr="007E4C1E" w:rsidRDefault="00C3624B" w:rsidP="00C3624B">
      <w:pPr>
        <w:jc w:val="center"/>
        <w:rPr>
          <w:lang w:val="ru-RU"/>
        </w:rPr>
      </w:pPr>
      <w:r w:rsidRPr="007E4C1E">
        <w:rPr>
          <w:b/>
          <w:lang w:val="ru-RU"/>
        </w:rPr>
        <w:t xml:space="preserve">2 ПОСТАНОВКА ЗАДАЧИ И ПРОЕКТНАЯ ЧАСТЬ</w:t>
      </w:r>
    </w:p>
    <w:p w14:paraId="25CB175A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Конкурентным преимуществом предприятия является 100% выходной контроль каждого изделия. В отличие от крупных производителей, применяющих выборочный статистический контроль (1–5% от партии), малосерийное производство объёмом до 700 изделий в месяц позволяет реализовать сплошной автоматизированный выходной контроль каждой единицы продукции на специализированных испытательных стендах под управлением MES-системы.</w:t>
      </w:r>
    </w:p>
    <w:p w14:paraId="7B4B93A2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Автоматизированная система управления качеством реализуется по трёхуровневой архитектуре:</w:t>
      </w:r>
    </w:p>
    <w:p w14:paraId="1D6BBA0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— полевой уровень: автоматизированные испытательные стенды с управляемой подачей тестового аэрозоля (дымовой канал) и нагревательным элементом с ПИД-регулятором (тепловой канал); сканеры QR-кодов для идентификации изделий по серийному номеру;</w:t>
      </w:r>
    </w:p>
    <w:p w14:paraId="48CD0C24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lastRenderedPageBreak/>
        <w:t xml:space="preserve">— уровень управления: промышленный контроллер ОВЕН ПЛК110, управляющий исполнительными механизмами стендов, реализующий алгоритм последовательного испытания по двум каналам и фиксирующий момент срабатывания испытуемого изделия;</w:t>
      </w:r>
    </w:p>
    <w:p w14:paraId="7D579A3D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— уровень MES: промышленный ПК с базой данных испытаний, привязанных к серийным номерам изделий; автоматическое формирование электронного паспорта изделия; блокировка выпуска изделий без записи об успешном прохождении всех операций; оперативная отчётность по выпуску, браку и производительности участка.</w:t>
      </w:r>
    </w:p>
    <w:p w14:paraId="24C51C35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Испытание каждого изделия состоит из двух фаз. Фаза 1 (дымовой канал): в герметичную камеру подаётся дозированный аэрозоль пропиленгликоля; контроллер фиксирует момент срабатывания и сравнивает с нормативным диапазоном. Фаза 2 (тепловой канал): нагревательный элемент разгоняет температуру с градиентом ≥ 5 °C/мин; допустимый диапазон срабатывания — 54–70 °C.</w:t>
      </w:r>
    </w:p>
    <w:p w14:paraId="38D7F572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>Структурная схема автоматизированной системы управления качеством сборочного участка, отражающая связи между испытательными стендами, контроллером ОВЕН ПЛК110, операторским ПК и MES-системой, представлена на таблице 2.1.</w:t>
      </w:r>
    </w:p>
    <w:p w14:paraId="4FEFE83C" w14:textId="77777777" w:rsidR="00C3624B" w:rsidRPr="007E4C1E" w:rsidRDefault="00C3624B" w:rsidP="00C3624B">
      <w:pPr>
        <w:jc w:val="center"/>
        <w:rPr>
          <w:lang w:val="ru-RU"/>
        </w:rPr>
      </w:pP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Liberation Serif" w:hAnsi="Liberation Serif"/>
                <w:b/>
                <w:sz w:val="24"/>
              </w:rPr>
              <w:t>Уровень АСУ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Liberation Serif" w:hAnsi="Liberation Serif"/>
                <w:b/>
                <w:sz w:val="24"/>
              </w:rPr>
              <w:t>Оборудование / ПО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Liberation Serif" w:hAnsi="Liberation Serif"/>
                <w:b/>
                <w:sz w:val="24"/>
              </w:rPr>
              <w:t>Выполняемая функция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Liberation Serif" w:hAnsi="Liberation Serif"/>
                <w:b/>
                <w:sz w:val="24"/>
              </w:rPr>
              <w:t>Полевой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Liberation Serif" w:hAnsi="Liberation Serif"/>
                <w:sz w:val="24"/>
              </w:rPr>
              <w:t>Стенд дымового канала (аэрозольная камера + датчик концентрации);</w:t>
              <w:br/>
              <w:t>Стенд теплового канала (ТЭН + ПИД-регулятор + термопара);</w:t>
              <w:br/>
              <w:t>Сканеры QR-кодов серийных номеров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Liberation Serif" w:hAnsi="Liberation Serif"/>
                <w:sz w:val="24"/>
              </w:rPr>
              <w:t>Физическое испытание каждого изделия по двум каналам; идентификация изделия перед началом теста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Liberation Serif" w:hAnsi="Liberation Serif"/>
                <w:b/>
                <w:sz w:val="24"/>
              </w:rPr>
              <w:t>Управляющий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Liberation Serif" w:hAnsi="Liberation Serif"/>
                <w:sz w:val="24"/>
              </w:rPr>
              <w:t>ОВЕН ПЛК110 (промышленный контроллер)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Liberation Serif" w:hAnsi="Liberation Serif"/>
                <w:sz w:val="24"/>
              </w:rPr>
              <w:t>Управление исполнительными механизмами стендов; фиксация момента срабатывания; сравнение с нормативным диапазоном; передача результата в MES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Liberation Serif" w:hAnsi="Liberation Serif"/>
                <w:b/>
                <w:sz w:val="24"/>
              </w:rPr>
              <w:t>MES / Верхний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Liberation Serif" w:hAnsi="Liberation Serif"/>
                <w:sz w:val="24"/>
              </w:rPr>
              <w:t>Промышленный ПК; СУБД испытаний; модуль прослеживаемости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Liberation Serif" w:hAnsi="Liberation Serif"/>
                <w:sz w:val="24"/>
              </w:rPr>
              <w:t>Привязка результатов к серийному номеру; автоформирование электронного паспорта изделия; блокировка выпуска без записи об испытании; оперативная отчётность по браку</w:t>
            </w:r>
          </w:p>
        </w:tc>
      </w:tr>
    </w:tbl>
    <w:p w14:paraId="41AD2D20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>Таблица 2.1 — Структура автоматизированной системы управления качеством сборочного участка</w:t>
      </w:r>
    </w:p>
    <w:p w14:paraId="2BA8EA9C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lastRenderedPageBreak/>
        <w:t xml:space="preserve">Внедрение автоматизированной системы управления качеством решает четыре основные задачи: исключает влияние человеческого фактора при оценке срабатывания изделия; обеспечивает повторяемость результатов испытаний от партии к партии; позволяет оперативно выявлять системные дефекты по статистике базы данных MES; создаёт документарную базу для прохождения сертификации по ТР ЕАЭС 043/2017 и подтверждения баллов локализации по Постановлению Правительства №719.</w:t>
      </w:r>
    </w:p>
    <w:p w14:paraId="0A3D2F2D" w14:textId="77777777" w:rsidR="00C3624B" w:rsidRPr="007E4C1E" w:rsidRDefault="00C3624B" w:rsidP="00C3624B">
      <w:pPr>
        <w:jc w:val="center"/>
        <w:rPr>
          <w:lang w:val="ru-RU"/>
        </w:rPr>
      </w:pPr>
      <w:r w:rsidRPr="007E4C1E">
        <w:rPr>
          <w:b/>
          <w:lang w:val="ru-RU"/>
        </w:rPr>
        <w:t xml:space="preserve">3 ВЫВОДЫ ПО ЭКОНОМИЧЕСКОЙ ЭФФЕКТИВНОСТИ ПРОЕКТА</w:t>
      </w:r>
    </w:p>
    <w:p w14:paraId="6847964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Производственная программа предприятия сформирована исходя из поэтапного освоения мощностей: инвестиционная фаза (март–июнь 2026 года), запуск с объёмом до 200 изд./мес. (июль–сентябрь 2026 года), наращивание до 500 изд./мес. (IV квартал 2026 года) и выход на максимальную загрузку 700 изд./мес. (с I квартала 2027 года). Финансовая модель построена в Project Expert 6 Holding при горизонте планирования 36 месяцев и ставке дисконтирования 16%. Производственная программа по годам представлена в таблице 3.1.</w:t>
      </w:r>
    </w:p>
    <w:p w14:paraId="1D5D2632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Таблица 3.1 — Производственная программа предприятия по годам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984"/>
        <w:gridCol w:w="1701"/>
        <w:gridCol w:w="1701"/>
      </w:tblGrid>
      <w:tr w:rsidR="00C3624B" w14:paraId="223C54D7" w14:textId="77777777" w:rsidTr="00777A9A">
        <w:trPr>
          <w:jc w:val="center"/>
        </w:trPr>
        <w:tc>
          <w:tcPr>
            <w:tcW w:w="3402" w:type="dxa"/>
            <w:vAlign w:val="center"/>
          </w:tcPr>
          <w:p w14:paraId="198EFE12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Показатель</w:t>
            </w:r>
          </w:p>
        </w:tc>
        <w:tc>
          <w:tcPr>
            <w:tcW w:w="1984" w:type="dxa"/>
            <w:vAlign w:val="center"/>
          </w:tcPr>
          <w:p w14:paraId="1DB5AAF8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22"/>
              </w:rPr>
              <w:t xml:space="preserve">Год 1 (6 мес.)</w:t>
            </w:r>
          </w:p>
        </w:tc>
        <w:tc>
          <w:tcPr>
            <w:tcW w:w="1701" w:type="dxa"/>
            <w:vAlign w:val="center"/>
          </w:tcPr>
          <w:p w14:paraId="5D6CA8EF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Год 2</w:t>
            </w:r>
          </w:p>
        </w:tc>
        <w:tc>
          <w:tcPr>
            <w:tcW w:w="1701" w:type="dxa"/>
            <w:vAlign w:val="center"/>
          </w:tcPr>
          <w:p w14:paraId="2C99C58C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Год 3</w:t>
            </w:r>
          </w:p>
        </w:tc>
      </w:tr>
      <w:tr w:rsidR="00C3624B" w14:paraId="5ABEC1C5" w14:textId="77777777" w:rsidTr="00777A9A">
        <w:trPr>
          <w:jc w:val="center"/>
        </w:trPr>
        <w:tc>
          <w:tcPr>
            <w:tcW w:w="3402" w:type="dxa"/>
            <w:vAlign w:val="center"/>
          </w:tcPr>
          <w:p w14:paraId="7F8F92CB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Объём продаж, шт.</w:t>
            </w:r>
          </w:p>
        </w:tc>
        <w:tc>
          <w:tcPr>
            <w:tcW w:w="1984" w:type="dxa"/>
            <w:vAlign w:val="center"/>
          </w:tcPr>
          <w:p w14:paraId="41FF7C05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~4 200</w:t>
            </w:r>
          </w:p>
        </w:tc>
        <w:tc>
          <w:tcPr>
            <w:tcW w:w="1701" w:type="dxa"/>
            <w:vAlign w:val="center"/>
          </w:tcPr>
          <w:p w14:paraId="0145927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~8 400</w:t>
            </w:r>
          </w:p>
        </w:tc>
        <w:tc>
          <w:tcPr>
            <w:tcW w:w="1701" w:type="dxa"/>
            <w:vAlign w:val="center"/>
          </w:tcPr>
          <w:p w14:paraId="651110CF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~8 400</w:t>
            </w:r>
          </w:p>
        </w:tc>
      </w:tr>
      <w:tr w:rsidR="00C3624B" w14:paraId="1539677B" w14:textId="77777777" w:rsidTr="00777A9A">
        <w:trPr>
          <w:jc w:val="center"/>
        </w:trPr>
        <w:tc>
          <w:tcPr>
            <w:tcW w:w="3402" w:type="dxa"/>
            <w:vAlign w:val="center"/>
          </w:tcPr>
          <w:p w14:paraId="631C8F6F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Средневзвешенная цена, руб./шт.</w:t>
            </w:r>
          </w:p>
        </w:tc>
        <w:tc>
          <w:tcPr>
            <w:tcW w:w="1984" w:type="dxa"/>
            <w:vAlign w:val="center"/>
          </w:tcPr>
          <w:p w14:paraId="59B7929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1 350</w:t>
            </w:r>
          </w:p>
        </w:tc>
        <w:tc>
          <w:tcPr>
            <w:tcW w:w="1701" w:type="dxa"/>
            <w:vAlign w:val="center"/>
          </w:tcPr>
          <w:p w14:paraId="728012C1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1 350</w:t>
            </w:r>
          </w:p>
        </w:tc>
        <w:tc>
          <w:tcPr>
            <w:tcW w:w="1701" w:type="dxa"/>
            <w:vAlign w:val="center"/>
          </w:tcPr>
          <w:p w14:paraId="365C7D23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1 350</w:t>
            </w:r>
          </w:p>
        </w:tc>
      </w:tr>
      <w:tr w:rsidR="00C3624B" w14:paraId="703E3A06" w14:textId="77777777" w:rsidTr="00777A9A">
        <w:trPr>
          <w:jc w:val="center"/>
        </w:trPr>
        <w:tc>
          <w:tcPr>
            <w:tcW w:w="3402" w:type="dxa"/>
            <w:vAlign w:val="center"/>
          </w:tcPr>
          <w:p w14:paraId="5643A343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Выручка, млн руб.</w:t>
            </w:r>
          </w:p>
        </w:tc>
        <w:tc>
          <w:tcPr>
            <w:tcW w:w="1984" w:type="dxa"/>
            <w:vAlign w:val="center"/>
          </w:tcPr>
          <w:p w14:paraId="7BDB296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~5,7</w:t>
            </w:r>
          </w:p>
        </w:tc>
        <w:tc>
          <w:tcPr>
            <w:tcW w:w="1701" w:type="dxa"/>
            <w:vAlign w:val="center"/>
          </w:tcPr>
          <w:p w14:paraId="21D0ACD0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~11,3</w:t>
            </w:r>
          </w:p>
        </w:tc>
        <w:tc>
          <w:tcPr>
            <w:tcW w:w="1701" w:type="dxa"/>
            <w:vAlign w:val="center"/>
          </w:tcPr>
          <w:p w14:paraId="5D82713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~11,3</w:t>
            </w:r>
          </w:p>
        </w:tc>
      </w:tr>
      <w:tr w:rsidR="00C3624B" w14:paraId="4F028A25" w14:textId="77777777" w:rsidTr="00777A9A">
        <w:trPr>
          <w:jc w:val="center"/>
        </w:trPr>
        <w:tc>
          <w:tcPr>
            <w:tcW w:w="3402" w:type="dxa"/>
            <w:vAlign w:val="center"/>
          </w:tcPr>
          <w:p w14:paraId="1E44D95D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Операционная прибыль, млн руб.</w:t>
            </w:r>
          </w:p>
        </w:tc>
        <w:tc>
          <w:tcPr>
            <w:tcW w:w="1984" w:type="dxa"/>
            <w:vAlign w:val="center"/>
          </w:tcPr>
          <w:p w14:paraId="52538EE3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-0,4</w:t>
            </w:r>
          </w:p>
        </w:tc>
        <w:tc>
          <w:tcPr>
            <w:tcW w:w="1701" w:type="dxa"/>
            <w:vAlign w:val="center"/>
          </w:tcPr>
          <w:p w14:paraId="6A9D8CF4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+3,8</w:t>
            </w:r>
          </w:p>
        </w:tc>
        <w:tc>
          <w:tcPr>
            <w:tcW w:w="1701" w:type="dxa"/>
            <w:vAlign w:val="center"/>
          </w:tcPr>
          <w:p w14:paraId="39355B76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+4,9</w:t>
            </w:r>
          </w:p>
        </w:tc>
      </w:tr>
    </w:tbl>
    <w:p w14:paraId="2F7A83D6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Плановая отпускная цена основного изделия — ИПК 212/101-1-СП «Сигнал» — составляет 1 350 руб./шт. для оптовых поставок монтажным организациям. Выход на плановую мощность 700 изделий в месяц предусмотрен к концу второго года операционной деятельности. Точка безубыточности достигается при объёме реализации ~380 изд./мес. (54% плановой мощности).</w:t>
      </w:r>
    </w:p>
    <w:p w14:paraId="0A206CC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Структура капитальных вложений (CAPEX): технологическое оборудование участка — 1 224 000 руб.; подготовка производственного помещения — 680 000 руб.; сертификация по ТР ЕАЭС 043/2017 — 420 000 руб.; первоначальный запас комплектующих (60-дневный буфер) — 1 680 000 руб.; прочие расходы — 970 482 руб. Итого CAPEX: 4 974 482 руб. Источники: собственные средства — 3 000 000 руб., банковский кредит — 1 974 482 руб. на 24 месяца.</w:t>
      </w:r>
    </w:p>
    <w:p w14:paraId="18F9E570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Финансовая модель инвестиционного проекта построена в программе Project Expert при горизонте планирования 36 месяцев и ставке дисконтирования 16%. Сводные показатели экономической эффективности представлены в таблице 3.2.</w:t>
      </w:r>
    </w:p>
    <w:p w14:paraId="45E3B6AE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Таблица 3.2 — Показатели экономической эффективности проекта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020"/>
        <w:gridCol w:w="1701"/>
        <w:gridCol w:w="1701"/>
        <w:gridCol w:w="1531"/>
      </w:tblGrid>
      <w:tr w:rsidR="00C3624B" w14:paraId="79DE64F6" w14:textId="77777777" w:rsidTr="00777A9A">
        <w:trPr>
          <w:jc w:val="center"/>
        </w:trPr>
        <w:tc>
          <w:tcPr>
            <w:tcW w:w="3118" w:type="dxa"/>
            <w:vAlign w:val="center"/>
          </w:tcPr>
          <w:p w14:paraId="4BE40581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Показатель</w:t>
            </w:r>
          </w:p>
        </w:tc>
        <w:tc>
          <w:tcPr>
            <w:tcW w:w="1020" w:type="dxa"/>
            <w:vAlign w:val="center"/>
          </w:tcPr>
          <w:p w14:paraId="05B40CF8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Обозн.</w:t>
            </w:r>
          </w:p>
        </w:tc>
        <w:tc>
          <w:tcPr>
            <w:tcW w:w="1701" w:type="dxa"/>
            <w:vAlign w:val="center"/>
          </w:tcPr>
          <w:p w14:paraId="6762372B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Значение</w:t>
            </w:r>
          </w:p>
        </w:tc>
        <w:tc>
          <w:tcPr>
            <w:tcW w:w="1701" w:type="dxa"/>
            <w:vAlign w:val="center"/>
          </w:tcPr>
          <w:p w14:paraId="3DEB6BDA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Критерий</w:t>
            </w:r>
          </w:p>
        </w:tc>
        <w:tc>
          <w:tcPr>
            <w:tcW w:w="1531" w:type="dxa"/>
            <w:vAlign w:val="center"/>
          </w:tcPr>
          <w:p w14:paraId="0B954E02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Вывод</w:t>
            </w:r>
          </w:p>
        </w:tc>
      </w:tr>
      <w:tr w:rsidR="00C3624B" w14:paraId="2F3348FE" w14:textId="77777777" w:rsidTr="00777A9A">
        <w:trPr>
          <w:jc w:val="center"/>
        </w:trPr>
        <w:tc>
          <w:tcPr>
            <w:tcW w:w="3118" w:type="dxa"/>
            <w:vAlign w:val="center"/>
          </w:tcPr>
          <w:p w14:paraId="63D42115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Чистый дисконтированный доход</w:t>
            </w:r>
          </w:p>
        </w:tc>
        <w:tc>
          <w:tcPr>
            <w:tcW w:w="1020" w:type="dxa"/>
            <w:vAlign w:val="center"/>
          </w:tcPr>
          <w:p w14:paraId="5C061C3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NPV</w:t>
            </w:r>
          </w:p>
        </w:tc>
        <w:tc>
          <w:tcPr>
            <w:tcW w:w="1701" w:type="dxa"/>
            <w:vAlign w:val="center"/>
          </w:tcPr>
          <w:p w14:paraId="7176226E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4 291 660 руб.</w:t>
            </w:r>
          </w:p>
        </w:tc>
        <w:tc>
          <w:tcPr>
            <w:tcW w:w="1701" w:type="dxa"/>
            <w:vAlign w:val="center"/>
          </w:tcPr>
          <w:p w14:paraId="5C13C0BB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&gt; 0</w:t>
            </w:r>
          </w:p>
        </w:tc>
        <w:tc>
          <w:tcPr>
            <w:tcW w:w="1531" w:type="dxa"/>
            <w:vAlign w:val="center"/>
          </w:tcPr>
          <w:p w14:paraId="7CD5BFFD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3118D795" w14:textId="77777777" w:rsidTr="00777A9A">
        <w:trPr>
          <w:jc w:val="center"/>
        </w:trPr>
        <w:tc>
          <w:tcPr>
            <w:tcW w:w="3118" w:type="dxa"/>
            <w:vAlign w:val="center"/>
          </w:tcPr>
          <w:p w14:paraId="5D840A52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Индекс прибыльности</w:t>
            </w:r>
          </w:p>
        </w:tc>
        <w:tc>
          <w:tcPr>
            <w:tcW w:w="1020" w:type="dxa"/>
            <w:vAlign w:val="center"/>
          </w:tcPr>
          <w:p w14:paraId="2D8CC1A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PI</w:t>
            </w:r>
          </w:p>
        </w:tc>
        <w:tc>
          <w:tcPr>
            <w:tcW w:w="1701" w:type="dxa"/>
            <w:vAlign w:val="center"/>
          </w:tcPr>
          <w:p w14:paraId="0BEE2A05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1,61</w:t>
            </w:r>
          </w:p>
        </w:tc>
        <w:tc>
          <w:tcPr>
            <w:tcW w:w="1701" w:type="dxa"/>
            <w:vAlign w:val="center"/>
          </w:tcPr>
          <w:p w14:paraId="4ACEA914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&gt; 1</w:t>
            </w:r>
          </w:p>
        </w:tc>
        <w:tc>
          <w:tcPr>
            <w:tcW w:w="1531" w:type="dxa"/>
            <w:vAlign w:val="center"/>
          </w:tcPr>
          <w:p w14:paraId="753944FF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7B048F1E" w14:textId="77777777" w:rsidTr="00777A9A">
        <w:trPr>
          <w:jc w:val="center"/>
        </w:trPr>
        <w:tc>
          <w:tcPr>
            <w:tcW w:w="3118" w:type="dxa"/>
            <w:vAlign w:val="center"/>
          </w:tcPr>
          <w:p w14:paraId="21134D2B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Внутренняя норма доходности</w:t>
            </w:r>
          </w:p>
        </w:tc>
        <w:tc>
          <w:tcPr>
            <w:tcW w:w="1020" w:type="dxa"/>
            <w:vAlign w:val="center"/>
          </w:tcPr>
          <w:p w14:paraId="7C841C85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IRR</w:t>
            </w:r>
          </w:p>
        </w:tc>
        <w:tc>
          <w:tcPr>
            <w:tcW w:w="1701" w:type="dxa"/>
            <w:vAlign w:val="center"/>
          </w:tcPr>
          <w:p w14:paraId="73471978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51,81 %</w:t>
            </w:r>
          </w:p>
        </w:tc>
        <w:tc>
          <w:tcPr>
            <w:tcW w:w="1701" w:type="dxa"/>
            <w:vAlign w:val="center"/>
          </w:tcPr>
          <w:p w14:paraId="09A8F3E1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&gt; ставки диск.</w:t>
            </w:r>
          </w:p>
        </w:tc>
        <w:tc>
          <w:tcPr>
            <w:tcW w:w="1531" w:type="dxa"/>
            <w:vAlign w:val="center"/>
          </w:tcPr>
          <w:p w14:paraId="31A0A5C7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4B60CB41" w14:textId="77777777" w:rsidTr="00777A9A">
        <w:trPr>
          <w:jc w:val="center"/>
        </w:trPr>
        <w:tc>
          <w:tcPr>
            <w:tcW w:w="3118" w:type="dxa"/>
            <w:vAlign w:val="center"/>
          </w:tcPr>
          <w:p w14:paraId="78F36B34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Дисконтир. срок окупаемости</w:t>
            </w:r>
          </w:p>
        </w:tc>
        <w:tc>
          <w:tcPr>
            <w:tcW w:w="1020" w:type="dxa"/>
            <w:vAlign w:val="center"/>
          </w:tcPr>
          <w:p w14:paraId="2D64AD1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DPB</w:t>
            </w:r>
          </w:p>
        </w:tc>
        <w:tc>
          <w:tcPr>
            <w:tcW w:w="1701" w:type="dxa"/>
            <w:vAlign w:val="center"/>
          </w:tcPr>
          <w:p w14:paraId="0A51274C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26 мес.</w:t>
            </w:r>
          </w:p>
        </w:tc>
        <w:tc>
          <w:tcPr>
            <w:tcW w:w="1701" w:type="dxa"/>
            <w:vAlign w:val="center"/>
          </w:tcPr>
          <w:p w14:paraId="665D3D36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&lt; горизонта</w:t>
            </w:r>
          </w:p>
        </w:tc>
        <w:tc>
          <w:tcPr>
            <w:tcW w:w="1531" w:type="dxa"/>
            <w:vAlign w:val="center"/>
          </w:tcPr>
          <w:p w14:paraId="22024013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72838B66" w14:textId="77777777" w:rsidTr="00777A9A">
        <w:trPr>
          <w:jc w:val="center"/>
        </w:trPr>
        <w:tc>
          <w:tcPr>
            <w:tcW w:w="3118" w:type="dxa"/>
            <w:vAlign w:val="center"/>
          </w:tcPr>
          <w:p w14:paraId="5B6258D9" w14:textId="77777777" w:rsidR="00C3624B" w:rsidRDefault="00C3624B" w:rsidP="00777A9A">
            <w:pPr>
              <w:spacing w:line="240" w:lineRule="auto"/>
            </w:pPr>
            <w:proofErr w:type="spellStart"/>
            <w:r>
              <w:rPr>
                <w:sz w:val="22"/>
              </w:rPr>
              <w:t>Дисконтир</w:t>
            </w:r>
            <w:proofErr w:type="spellEnd"/>
            <w:r>
              <w:rPr>
                <w:sz w:val="22"/>
              </w:rPr>
              <w:t xml:space="preserve">. </w:t>
            </w:r>
            <w:proofErr w:type="spellStart"/>
            <w:r>
              <w:rPr>
                <w:sz w:val="22"/>
              </w:rPr>
              <w:t>период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окупаемости</w:t>
            </w:r>
            <w:proofErr w:type="spellEnd"/>
          </w:p>
        </w:tc>
        <w:tc>
          <w:tcPr>
            <w:tcW w:w="1020" w:type="dxa"/>
            <w:vAlign w:val="center"/>
          </w:tcPr>
          <w:p w14:paraId="66F76DA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>DPB</w:t>
            </w:r>
          </w:p>
        </w:tc>
        <w:tc>
          <w:tcPr>
            <w:tcW w:w="1701" w:type="dxa"/>
            <w:vAlign w:val="center"/>
          </w:tcPr>
          <w:p w14:paraId="3D374E74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29 </w:t>
            </w:r>
            <w:proofErr w:type="spellStart"/>
            <w:r>
              <w:rPr>
                <w:sz w:val="22"/>
              </w:rPr>
              <w:t>мес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1701" w:type="dxa"/>
            <w:vAlign w:val="center"/>
          </w:tcPr>
          <w:p w14:paraId="0DC9925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&lt; </w:t>
            </w:r>
            <w:proofErr w:type="spellStart"/>
            <w:r>
              <w:rPr>
                <w:sz w:val="22"/>
              </w:rPr>
              <w:t>горизонта</w:t>
            </w:r>
            <w:proofErr w:type="spellEnd"/>
          </w:p>
        </w:tc>
        <w:tc>
          <w:tcPr>
            <w:tcW w:w="1531" w:type="dxa"/>
            <w:vAlign w:val="center"/>
          </w:tcPr>
          <w:p w14:paraId="09007B36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r>
              <w:rPr>
                <w:sz w:val="22"/>
              </w:rPr>
              <w:t>соответствует</w:t>
            </w:r>
            <w:proofErr w:type="spellEnd"/>
          </w:p>
        </w:tc>
      </w:tr>
    </w:tbl>
    <w:p w14:paraId="3B87BE84" w14:textId="77777777" w:rsidR="00C3624B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Анализ чувствительности NPV показал, что наибольшее влияние на показатели эффективности оказывают объём продаж и отпускная цена реализации, в меньшей степени — стоимость комплектующих и постоянные расходы. При снижении ключевых параметров на 10–15% от базовых значений проект сохраняет положительный NPV и период окупаемости в пределах горизонта планирования, что подтверждает устойчивость проекта к умеренным рыночным рискам.</w:t>
      </w:r>
    </w:p>
    <w:p w14:paraId="61A4AE89" w14:textId="77777777" w:rsidR="00C3624B" w:rsidRPr="007E4C1E" w:rsidRDefault="00C3624B" w:rsidP="00C3624B">
      <w:pPr>
        <w:ind w:firstLine="709"/>
        <w:jc w:val="both"/>
        <w:rPr>
          <w:lang w:val="ru-RU"/>
        </w:rPr>
      </w:pPr>
    </w:p>
    <w:p w14:paraId="05C89CC8" w14:textId="77777777" w:rsidR="00C3624B" w:rsidRPr="007E4C1E" w:rsidRDefault="00C3624B" w:rsidP="00C3624B">
      <w:pPr>
        <w:spacing w:after="240"/>
        <w:jc w:val="center"/>
        <w:rPr>
          <w:lang w:val="ru-RU"/>
        </w:rPr>
      </w:pPr>
      <w:r w:rsidRPr="007E4C1E">
        <w:rPr>
          <w:b/>
          <w:lang w:val="ru-RU"/>
        </w:rPr>
        <w:t>ЗАКЛЮЧЕНИЕ</w:t>
      </w:r>
    </w:p>
    <w:p w14:paraId="7C33646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В ходе преддипломной практики собраны и систематизированы материалы, необходимые для разработки выпускной квалификационной работы на тему «Инвестиционный проект производственного предприятия». Основные результаты практики:</w:t>
      </w:r>
    </w:p>
    <w:p w14:paraId="5AA04CD0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proofErr w:type="spellStart"/>
      <w:proofErr w:type="spellEnd"/>
      <w:r w:rsidRPr="007E4C1E">
        <w:rPr>
          <w:lang w:val="ru-RU"/>
        </w:rPr>
        <w:t xml:space="preserve">1) проведён технико-экономический анализ рынка систем пожарной сигнализации РФ; обоснована целесообразность создания предприятия ООО «СигналПром» на базе гибридной производственной модели; установлено, что объём рынка составляет ~54 млрд руб. с прогнозом роста до 58,8 млрд руб. в 2026 году;</w:t>
      </w:r>
    </w:p>
    <w:p w14:paraId="52AFAFC9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lastRenderedPageBreak/>
        <w:t xml:space="preserve">2) разработана производственная модель участка: технологический маршрут, спецификация оборудования (CAPEX = 4 974 482 руб.) и автоматизированная система управления качеством на базе MES со 100% выходным контролем каждого изделия по дымовому и тепловому каналам;</w:t>
      </w:r>
    </w:p>
    <w:p w14:paraId="38F7A543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3) построена финансовая модель в Project Expert 6 Holding (горизонт 36 мес., ставка дисконтирования 16%); рассчитаны интегральные показатели: NPV = 4 291 660 руб., IRR = 51,81%, PI = 1,61, DPB = 26 месяцев;</w:t>
      </w:r>
    </w:p>
    <w:p w14:paraId="0F8BBCC1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4) проведён анализ чувствительности NPV, подтвердивший устойчивость проекта к снижению ключевых параметров на 10–15%; точка безубыточности — ~380 изделий в месяц (54% плановой мощности).</w:t>
      </w:r>
    </w:p>
    <w:p w14:paraId="7ED5018A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Все разделы задания на преддипломную практику выполнены в установленные сроки. Полученные материалы достаточны для написания всех глав выпускной квалификационной работы.</w:t>
      </w:r>
    </w:p>
    <w:p w14:paraId="4CA90BA2" w14:textId="77777777" w:rsidR="00C3624B" w:rsidRPr="007E4C1E" w:rsidRDefault="00C3624B" w:rsidP="00C3624B">
      <w:pPr>
        <w:spacing w:after="240"/>
        <w:jc w:val="center"/>
        <w:rPr>
          <w:lang w:val="ru-RU"/>
        </w:rPr>
      </w:pPr>
      <w:r w:rsidRPr="007E4C1E">
        <w:rPr>
          <w:b/>
          <w:lang w:val="ru-RU"/>
        </w:rPr>
        <w:t>СПИСОК ИСПОЛЬЗОВАННЫХ ИСТОЧНИКОВ</w:t>
      </w:r>
    </w:p>
    <w:p w14:paraId="0C30337A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1. Федеральный закон от 25.02.1999 №39-ФЗ «Об инвестиционной деятельности в Российской Федерации, осуществляемой в форме капитальных вложений» (ред. 2023 г.).</w:t>
      </w:r>
    </w:p>
    <w:p w14:paraId="303378D5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proofErr w:type="gramStart"/>
      <w:proofErr w:type="gramEnd"/>
      <w:proofErr w:type="spellStart"/>
      <w:proofErr w:type="spellEnd"/>
      <w:r w:rsidRPr="007E4C1E">
        <w:rPr>
          <w:lang w:val="ru-RU"/>
        </w:rPr>
        <w:t xml:space="preserve">2. Федеральный закон от 22.07.2008 №123-ФЗ «Технический регламент о требованиях пожарной безопасности» (ред. 2025 г.).</w:t>
      </w:r>
    </w:p>
    <w:p w14:paraId="41AF4EF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3. ТР ЕАЭС 043/2017. Технический регламент «О требованиях к средствам обеспечения пожарной безопасности и пожаротушения». — М., 2017.</w:t>
      </w:r>
    </w:p>
    <w:p w14:paraId="7D75D796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4. ГОСТ Р 53325-2024. Технические средства пожарной автоматики. Общие технические требования. Методы испытаний. — М.: Стандартинформ, 2024.</w:t>
      </w:r>
    </w:p>
    <w:p w14:paraId="2CDC7E9E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5. СП 484.1311500.2020. Системы пожарной сигнализации. Нормы и правила проектирования (с Изменением №1, 2025 г.).</w:t>
      </w:r>
    </w:p>
    <w:p w14:paraId="21F2473F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lastRenderedPageBreak/>
        <w:t xml:space="preserve">6. Методические рекомендации по оценке эффективности инвестиционных проектов (2-я ред.) / утв. Минэкономики РФ от 21.06.1999 №ВК 477.</w:t>
      </w:r>
    </w:p>
    <w:p w14:paraId="66A3F92D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7. Постановление Правительства РФ от 17.07.2015 №719 «О подтверждении производства промышленной продукции на территории РФ» (ред. 2026 г.).</w:t>
      </w:r>
    </w:p>
    <w:p w14:paraId="3B9B2384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8. Приказ Минпромторга России №4611 от 08.10.2024 «О внесении изменений в перечень товаров, в отношении которых допускается параллельный импорт».</w:t>
      </w:r>
    </w:p>
    <w:p w14:paraId="49AE5592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9. Виленский, П.Л. Оценка эффективности инвестиционных проектов / П.Л. Виленский, В.Н. Лившиц, С.А. Смоляк. — М.: Дело, 2008. — 1104 с.</w:t>
      </w:r>
    </w:p>
    <w:p w14:paraId="40159AF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10. Руководство пользователя Project Expert 7. — М.: Expert Systems, 2023.</w:t>
      </w:r>
    </w:p>
    <w:p w14:paraId="17E759F7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proofErr w:type="spellStart"/>
      <w:proofErr w:type="spellEnd"/>
      <w:r w:rsidRPr="007E4C1E">
        <w:rPr>
          <w:lang w:val="ru-RU"/>
        </w:rPr>
        <w:t xml:space="preserve">11. Приказ МЧС России №252 «Об установлении требований к оснащению жилых помещений автономными дымовыми пожарными извещателями». — М.: МЧС, 2025.</w:t>
      </w:r>
    </w:p>
    <w:p w14:paraId="217316D9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12. BusinesStat. Анализ рынка систем пожарной сигнализации в России, 2024–2026 гг.</w:t>
      </w:r>
    </w:p>
    <w:p w14:paraId="55D5AB27" w14:textId="77777777" w:rsidR="00460297" w:rsidRPr="00C3624B" w:rsidRDefault="00460297">
      <w:pPr>
        <w:rPr>
          <w:lang w:val="ru-RU"/>
        </w:rPr>
      </w:pPr>
    </w:p>
    <w:sectPr w:rsidR="00460297" w:rsidRPr="00C3624B" w:rsidSect="00C3624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0DD"/>
    <w:rsid w:val="001370DD"/>
    <w:rsid w:val="001C7DB0"/>
    <w:rsid w:val="00460297"/>
    <w:rsid w:val="00810F7A"/>
    <w:rsid w:val="009D57ED"/>
    <w:rsid w:val="00B1530B"/>
    <w:rsid w:val="00C14F05"/>
    <w:rsid w:val="00C3624B"/>
    <w:rsid w:val="00F1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C3C0390-685C-4E4A-AEB1-9698E290D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624B"/>
    <w:pPr>
      <w:spacing w:after="0" w:line="360" w:lineRule="auto"/>
    </w:pPr>
    <w:rPr>
      <w:rFonts w:ascii="Times New Roman" w:eastAsia="Times New Roman" w:hAnsi="Times New Roman" w:cs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370D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0D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0D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0D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0D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0D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0D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0D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0D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0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0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0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70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70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70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70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70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7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7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37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70D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37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70D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370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70D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1370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70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370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370D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C3624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1768</Words>
  <Characters>10078</Characters>
  <Application>Microsoft Office Word</Application>
  <DocSecurity>0</DocSecurity>
  <Lines>83</Lines>
  <Paragraphs>23</Paragraphs>
  <ScaleCrop>false</ScaleCrop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ZhiGor サスケ君</dc:creator>
  <cp:keywords/>
  <dc:description/>
  <cp:lastModifiedBy>ZhiGor サスケ君</cp:lastModifiedBy>
  <cp:revision>2</cp:revision>
  <dcterms:created xsi:type="dcterms:W3CDTF">2026-05-28T10:00:00Z</dcterms:created>
  <dcterms:modified xsi:type="dcterms:W3CDTF">2026-05-28T10:00:00Z</dcterms:modified>
</cp:coreProperties>
</file>