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ВВЕДЕНИЕ</w:t>
      </w:r>
    </w:p>
    <w:p>
      <w:r>
        <w:t>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безопасности на территории Российской Федерации.</w:t>
      </w:r>
    </w:p>
    <w:p>
      <w:r>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года [1].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номенклатуры ТН ВЭД 8531 из перечня разрешённых к ввозу без согласия правообладателей [2].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r>
        <w:t>Параллельно государство реализует масштабные программы стимулирования радиоэлектронной промышленности. Введение с 1 сентября 2026 года технологического сбора на импортируемую электронную технику (максимальная ставка до 5 000 рублей за товарную единицу) делает ввоз готовых устройств среднего ценового сегмента экономически нецелесообразным и открывает окно возможностей для малых контрактных производств, осуществляющих финальную сборку из импортируемой элементной базы [3].</w:t>
      </w:r>
    </w:p>
    <w:p>
      <w:r>
        <w:t>Нормативно-правовая среда 2025–2026 годов формирует безальтернативную потребность в современных комбинированных пожарных извещателях. Обновлённый ГОСТ Р 53325-2024 увеличил норматив защиты извещателей от электромагнитных помех более чем в три раза — с 3 В/м до 10 В/м, а минимальный срок службы оборудования повышен с 7 до 10 лет [4]. Изменение №1 к СП 484.1311500.2020, вступившее в силу с 1 сентября 2025 года, ужесточило требования к отказоустойчивости адресных линий связи и сделало обязательным применение изоляторов короткого замыкания [5]. Приказ МЧС №252 установил обязательность установки автономных дымовых пожарных извещателей в жилых помещениях, прихожих и коридорах квартир, а также в индивидуальных жилых домах [6]. Совокупность данных требований формирует лавинообразный рост спроса на комбинированные (мультикритериальные) извещатели, объединяющие оптический дымовой и тепловой каналы обнаружения.</w:t>
      </w:r>
    </w:p>
    <w:p>
      <w:r>
        <w:t>Комбинированные дымо-тепловые извещатели используют два независимых физических признака пожара (рассеяние инфракрасного излучения на частицах дыма и градиент роста температуры), что повышает достоверность обнаружения возгорания и радикально снижает вероятность ложных срабатываний по сравнению с моносенсорными аналогами. Интегрированный микропроцессор осуществляет цифровую фильтрацию сигналов, классифицируя событие как «пожар» только при одновременном срабатывании обоих каналов, что критически важно для объектов с высокой плотностью пребывания людей — торговых центров, вокзалов, образовательных и медицинских учреждений [7].</w:t>
      </w:r>
    </w:p>
    <w:p>
      <w:r>
        <w:t>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конкурентоспособное производственное предприятие при стартовых инвестициях, доступных малому бизнесу [8].</w:t>
      </w:r>
    </w:p>
    <w:p>
      <w:r>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r>
        <w:t>Для достижения поставленной цели в работе решаются следующие задачи:</w:t>
      </w:r>
    </w:p>
    <w:p>
      <w:pPr>
        <w:ind w:firstLine="709"/>
      </w:pPr>
      <w:r>
        <w:t>– обосновать технико-экономическую целесообразность создания предприятия на основе анализа рынка пожарной сигнализации и конкурентной среды;</w:t>
      </w:r>
    </w:p>
    <w:p>
      <w:pPr>
        <w:ind w:firstLine="709"/>
      </w:pPr>
      <w:r>
        <w:t>– определить ключевые показатели эффективности инвестиционного проекта и обосновать выбор программного инструмента для финансового моделирования;</w:t>
      </w:r>
    </w:p>
    <w:p>
      <w:pPr>
        <w:ind w:firstLine="709"/>
      </w:pPr>
      <w:r>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pPr>
        <w:ind w:firstLine="709"/>
      </w:pPr>
      <w:r>
        <w:t>– сформировать финансовую модель проекта в программном комплексе Project Expert, рассчитать интегральные показатели эффективности и провести анализ чувствительности.</w:t>
      </w:r>
    </w:p>
    <w:p>
      <w:r>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r>
        <w:t>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дымо-тепловых пожарных извещателей с применением автоматизированных систем контроля качества.</w:t>
      </w:r>
    </w:p>
    <w:p>
      <w:r>
        <w:t>Теоретико-методологическую базу исследования составляют положения Федерального закона «Об инвестиционной деятельности в Российской Федерации, осуществляемой в форме капитальных вложений», методические рекомендации по оценке эффективности инвестиционных проектов,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[9].</w:t>
      </w:r>
    </w:p>
    <w:p>
      <w:r>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[10].</w:t>
      </w:r>
    </w:p>
    <w:p>
      <w:r>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технологическим условиям.</w:t>
      </w:r>
    </w:p>
    <w:p>
      <w:r>
        <w:t>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предприятия с детализацией автоматизированного контроля качества и внесением данных в Project Expert.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134" w:right="850" w:bottom="1134" w:left="1701" w:header="720" w:footer="720" w:gutter="0"/>
      <w:cols w:space="720"/>
      <w:docGrid w:linePitch="360"/>
    </w:sectPr>
    <w:p>
      <w:pPr>
        <w:pStyle w:val="Heading1"/>
      </w:pPr>
      <w:r>
        <w:t>1. Технико-экономическое обоснование проекта</w:t>
      </w:r>
    </w:p>
    <w:p>
      <w:r>
        <w:t>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Начало данного проекта определено на 1 сентября 2026 года с горизонтом планирования в 3 года. Выход на операционную деятельность (запуск производства) запланирован на 1 января 2027 года после завершения инвестиционной фазы, включающей подготовку помещения, закупку и пусконаладку технологического оборудования, а также прохождение обязательной сертификации по ТР ЕАЭС 043/2017.</w:t>
      </w:r>
    </w:p>
    <w:p>
      <w:pPr>
        <w:pStyle w:val="Heading2"/>
      </w:pPr>
      <w:r>
        <w:t>1.1 Обоснование целей открытия предприятия</w:t>
      </w:r>
    </w:p>
    <w:p>
      <w:r>
        <w:t>Целью инвестиционного проекта является создание малого производственного предприятия ООО «СигналПром», ориентированного на выпуск комбинированных дымо-тепловых пожарных извещателей для сегмента монтажных организаций (B2B-рынок).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r>
        <w:t>Ключевым драйвером структурных изменений рынка выступил Приказ Минпромторга России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ТН ВЭД 8531 из перечня разрешённых для ввоза без согласия правообладателей. Инициатором ограничений выступила Автономная некоммерческая организация «Консорциум ПОПСБ», объединяющая ведущих российских производителей охранно-пожарных систем. Следствием данной меры стало формирование практически суверенного рынка: к маю 2026 года доля отечественных производителей в государственном и крупном корпоративном секторах приблизилась к абсолютным значениям, а оборудование покинувших рынок транснациональных корпораций (Bosch, Honeywell, Schneider Electric, Autronica) лишилось официальной сервисной поддержки и легитимного гарантийного ремонта.</w:t>
      </w:r>
    </w:p>
    <w:p>
      <w:r>
        <w:t>Дополнительным фактором, открывающим окно возможностей для малых контрактных производств, стало введение с 1 сентября 2026 года технологического сбора на импортируемую готовую электронную технику. Сбор имеет фиксированный регрессивный характер: максимальная ставка составляет 5 000 рублей за товарную единицу вне зависимости от её таможенной стоимости. Для изделий среднего ценового сегмента (к которым относятся комбинированные пожарные извещатели с рыночной ценой 1 200–1 600 рублей) сбор увеличивает закупочную стоимость импорта на 60–150%, что делает ввоз готовых устройств экономически нецелесообразным. При этом технологический сбор не распространяется на импорт рассыпной электронной компонентной базы (микроконтроллеры, фотодиоды, термисторы), что формирует прямые преференции для локальных сборочных производств.</w:t>
      </w:r>
    </w:p>
    <w:p>
      <w:r>
        <w:t>Параллельно с введением заградительных барьеров государство реализует программы прямой финансовой поддержки радиоэлектронной промышленности. В рамках федерального проекта «Развитие инфраструктуры и производства электронной продукции» на трёхлетний период заложено финансирование в размере 13,5 миллиардов рублей, из которых 9,7 миллиардов рублей выделяется в 2026 году. Доступны инструменты льготного лизинга технологического оборудования, гарантийной поддержки Корпорации МСП, субсидирования процентных ставок и грантовых программ центров «Мой бизнес». Совокупность указанных мер позволяет малому предприятию существенно снизить стартовую финансовую нагрузку при организации производства.</w:t>
      </w:r>
    </w:p>
    <w:p>
      <w:r>
        <w:t>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более чем в три раза — с 3 В/м до 10 В/м, что фактически вытеснило с рынка низкотехнологичные моносенсорные устройства. Изменение №1 к СП 484.1311500.2020, вступившее в силу 1 сентября 2025 года,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r>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(SMT),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SMT-линии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r>
        <w:t>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операции (поверхностный SMT-монтаж печатных плат, литьё пластиковых корпусов из ABS-пластика) передаются на контрактное производство крупным отечественным подрядчикам — в частности, компании «Резонит»,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r>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r>
        <w:t>Таким образом, основными задачами предприятия в период реализации инвестиционного проекта являются:</w:t>
      </w:r>
    </w:p>
    <w:p>
      <w:pPr>
        <w:ind w:firstLine="709"/>
      </w:pPr>
      <w:r>
        <w:t>– анализ рыночной конъюнктуры и обоснование ниши малосерийного производства в сегменте B2B;</w:t>
      </w:r>
    </w:p>
    <w:p>
      <w:pPr>
        <w:ind w:firstLine="709"/>
      </w:pPr>
      <w:r>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pPr>
        <w:ind w:firstLine="709"/>
      </w:pPr>
      <w:r>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pPr>
        <w:ind w:firstLine="709"/>
      </w:pPr>
      <w:r>
        <w:t>– внедрение MES-системы для обеспечения сквозной прослеживаемости каждого изделия и автоматической блокировки выпуска брака;</w:t>
      </w:r>
    </w:p>
    <w:p>
      <w:pPr>
        <w:ind w:firstLine="709"/>
      </w:pPr>
      <w:r>
        <w:t>– прохождение обязательной сертификации продукции по ТР ЕАЭС 043/2017 «О требованиях к средствам обеспечения пожарной безопасности и пожаротушения»;</w:t>
      </w:r>
    </w:p>
    <w:p>
      <w:pPr>
        <w:ind w:firstLine="709"/>
      </w:pPr>
      <w:r>
        <w:t>– формирование каналов сбыта в B2B-сегменте через монтажные организации и поставщиков оборудования систем безопасности.</w:t>
      </w:r>
    </w:p>
    <w:p>
      <w:r>
        <w:t>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объектов общественного питания); создание новых рабочих мест и рост налоговых поступлений в бюджет Рязанской области.</w:t>
      </w:r>
    </w:p>
    <w:p>
      <w:pPr>
        <w:pStyle w:val="Heading2"/>
      </w:pPr>
      <w:r>
        <w:t>1.2 Анализ рынка</w:t>
      </w:r>
    </w:p>
    <w:p>
      <w:r>
        <w:t>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кардинально изменила условия входа новых производственных предприятий и перераспределила доли между участниками отрасли.</w:t>
      </w:r>
    </w:p>
    <w:p>
      <w:r>
        <w:t>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CAGR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pPr>
        <w:pStyle w:val="TableCaption"/>
      </w:pPr>
      <w:r>
        <w:t>Таблица 1 – Динамика объёма российского рынка пожарной автоматики в 2023–2026 годах</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line="240" w:lineRule="auto" w:before="0" w:after="0"/>
              <w:ind w:firstLine="0"/>
              <w:jc w:val="center"/>
            </w:pPr>
            <w:r>
              <w:rPr>
                <w:rFonts w:ascii="Liberation Serif" w:hAnsi="Liberation Serif"/>
                <w:sz w:val="24"/>
              </w:rPr>
              <w:t>Год</w:t>
            </w:r>
          </w:p>
        </w:tc>
        <w:tc>
          <w:tcPr>
            <w:tcW w:type="dxa" w:w="3230"/>
          </w:tcPr>
          <w:p>
            <w:pPr>
              <w:spacing w:line="240" w:lineRule="auto" w:before="0" w:after="0"/>
              <w:ind w:firstLine="0"/>
              <w:jc w:val="center"/>
            </w:pPr>
            <w:r>
              <w:rPr>
                <w:rFonts w:ascii="Liberation Serif" w:hAnsi="Liberation Serif"/>
                <w:sz w:val="24"/>
              </w:rPr>
              <w:t>Объём рынка, млрд руб.</w:t>
            </w:r>
          </w:p>
        </w:tc>
        <w:tc>
          <w:tcPr>
            <w:tcW w:type="dxa" w:w="3230"/>
          </w:tcPr>
          <w:p>
            <w:pPr>
              <w:spacing w:line="240" w:lineRule="auto" w:before="0" w:after="0"/>
              <w:ind w:firstLine="0"/>
              <w:jc w:val="center"/>
            </w:pPr>
            <w:r>
              <w:rPr>
                <w:rFonts w:ascii="Liberation Serif" w:hAnsi="Liberation Serif"/>
                <w:sz w:val="24"/>
              </w:rPr>
              <w:t>Прирост к предыдущему году, %</w:t>
            </w:r>
          </w:p>
        </w:tc>
      </w:tr>
      <w:tr>
        <w:tc>
          <w:tcPr>
            <w:tcW w:type="dxa" w:w="3230"/>
          </w:tcPr>
          <w:p>
            <w:pPr>
              <w:spacing w:line="240" w:lineRule="auto" w:before="0" w:after="0"/>
              <w:ind w:firstLine="0"/>
              <w:jc w:val="center"/>
            </w:pPr>
            <w:r>
              <w:rPr>
                <w:rFonts w:ascii="Liberation Serif" w:hAnsi="Liberation Serif"/>
                <w:sz w:val="24"/>
              </w:rPr>
              <w:t>2023</w:t>
            </w:r>
          </w:p>
        </w:tc>
        <w:tc>
          <w:tcPr>
            <w:tcW w:type="dxa" w:w="3230"/>
          </w:tcPr>
          <w:p>
            <w:pPr>
              <w:spacing w:line="240" w:lineRule="auto" w:before="0" w:after="0"/>
              <w:ind w:firstLine="0"/>
              <w:jc w:val="center"/>
            </w:pPr>
            <w:r>
              <w:rPr>
                <w:rFonts w:ascii="Liberation Serif" w:hAnsi="Liberation Serif"/>
                <w:sz w:val="24"/>
              </w:rPr>
              <w:t>45,8</w:t>
            </w:r>
          </w:p>
        </w:tc>
        <w:tc>
          <w:tcPr>
            <w:tcW w:type="dxa" w:w="3230"/>
          </w:tcPr>
          <w:p>
            <w:pPr>
              <w:spacing w:line="240" w:lineRule="auto" w:before="0" w:after="0"/>
              <w:ind w:firstLine="0"/>
              <w:jc w:val="center"/>
            </w:pPr>
            <w:r>
              <w:rPr>
                <w:rFonts w:ascii="Liberation Serif" w:hAnsi="Liberation Serif"/>
                <w:sz w:val="24"/>
              </w:rPr>
              <w:t>+6,5</w:t>
            </w:r>
          </w:p>
        </w:tc>
      </w:tr>
      <w:tr>
        <w:tc>
          <w:tcPr>
            <w:tcW w:type="dxa" w:w="3230"/>
          </w:tcPr>
          <w:p>
            <w:pPr>
              <w:spacing w:line="240" w:lineRule="auto" w:before="0" w:after="0"/>
              <w:ind w:firstLine="0"/>
              <w:jc w:val="center"/>
            </w:pPr>
            <w:r>
              <w:rPr>
                <w:rFonts w:ascii="Liberation Serif" w:hAnsi="Liberation Serif"/>
                <w:sz w:val="24"/>
              </w:rPr>
              <w:t>2024</w:t>
            </w:r>
          </w:p>
        </w:tc>
        <w:tc>
          <w:tcPr>
            <w:tcW w:type="dxa" w:w="3230"/>
          </w:tcPr>
          <w:p>
            <w:pPr>
              <w:spacing w:line="240" w:lineRule="auto" w:before="0" w:after="0"/>
              <w:ind w:firstLine="0"/>
              <w:jc w:val="center"/>
            </w:pPr>
            <w:r>
              <w:rPr>
                <w:rFonts w:ascii="Liberation Serif" w:hAnsi="Liberation Serif"/>
                <w:sz w:val="24"/>
              </w:rPr>
              <w:t>49,1</w:t>
            </w:r>
          </w:p>
        </w:tc>
        <w:tc>
          <w:tcPr>
            <w:tcW w:type="dxa" w:w="3230"/>
          </w:tcPr>
          <w:p>
            <w:pPr>
              <w:spacing w:line="240" w:lineRule="auto" w:before="0" w:after="0"/>
              <w:ind w:firstLine="0"/>
              <w:jc w:val="center"/>
            </w:pPr>
            <w:r>
              <w:rPr>
                <w:rFonts w:ascii="Liberation Serif" w:hAnsi="Liberation Serif"/>
                <w:sz w:val="24"/>
              </w:rPr>
              <w:t>+7,2</w:t>
            </w:r>
          </w:p>
        </w:tc>
      </w:tr>
      <w:tr>
        <w:tc>
          <w:tcPr>
            <w:tcW w:type="dxa" w:w="3230"/>
          </w:tcPr>
          <w:p>
            <w:pPr>
              <w:spacing w:line="240" w:lineRule="auto" w:before="0" w:after="0"/>
              <w:ind w:firstLine="0"/>
              <w:jc w:val="center"/>
            </w:pPr>
            <w:r>
              <w:rPr>
                <w:rFonts w:ascii="Liberation Serif" w:hAnsi="Liberation Serif"/>
                <w:sz w:val="24"/>
              </w:rPr>
              <w:t>2025</w:t>
            </w:r>
          </w:p>
        </w:tc>
        <w:tc>
          <w:tcPr>
            <w:tcW w:type="dxa" w:w="3230"/>
          </w:tcPr>
          <w:p>
            <w:pPr>
              <w:spacing w:line="240" w:lineRule="auto" w:before="0" w:after="0"/>
              <w:ind w:firstLine="0"/>
              <w:jc w:val="center"/>
            </w:pPr>
            <w:r>
              <w:rPr>
                <w:rFonts w:ascii="Liberation Serif" w:hAnsi="Liberation Serif"/>
                <w:sz w:val="24"/>
              </w:rPr>
              <w:t>54,0</w:t>
            </w:r>
          </w:p>
        </w:tc>
        <w:tc>
          <w:tcPr>
            <w:tcW w:type="dxa" w:w="3230"/>
          </w:tcPr>
          <w:p>
            <w:pPr>
              <w:spacing w:line="240" w:lineRule="auto" w:before="0" w:after="0"/>
              <w:ind w:firstLine="0"/>
              <w:jc w:val="center"/>
            </w:pPr>
            <w:r>
              <w:rPr>
                <w:rFonts w:ascii="Liberation Serif" w:hAnsi="Liberation Serif"/>
                <w:sz w:val="24"/>
              </w:rPr>
              <w:t>+10,0</w:t>
            </w:r>
          </w:p>
        </w:tc>
      </w:tr>
      <w:tr>
        <w:tc>
          <w:tcPr>
            <w:tcW w:type="dxa" w:w="3230"/>
          </w:tcPr>
          <w:p>
            <w:pPr>
              <w:spacing w:line="240" w:lineRule="auto" w:before="0" w:after="0"/>
              <w:ind w:firstLine="0"/>
              <w:jc w:val="center"/>
            </w:pPr>
            <w:r>
              <w:rPr>
                <w:rFonts w:ascii="Liberation Serif" w:hAnsi="Liberation Serif"/>
                <w:sz w:val="24"/>
              </w:rPr>
              <w:t>2026 (прогноз)</w:t>
            </w:r>
          </w:p>
        </w:tc>
        <w:tc>
          <w:tcPr>
            <w:tcW w:type="dxa" w:w="3230"/>
          </w:tcPr>
          <w:p>
            <w:pPr>
              <w:spacing w:line="240" w:lineRule="auto" w:before="0" w:after="0"/>
              <w:ind w:firstLine="0"/>
              <w:jc w:val="center"/>
            </w:pPr>
            <w:r>
              <w:rPr>
                <w:rFonts w:ascii="Liberation Serif" w:hAnsi="Liberation Serif"/>
                <w:sz w:val="24"/>
              </w:rPr>
              <w:t>58,8</w:t>
            </w:r>
          </w:p>
        </w:tc>
        <w:tc>
          <w:tcPr>
            <w:tcW w:type="dxa" w:w="3230"/>
          </w:tcPr>
          <w:p>
            <w:pPr>
              <w:spacing w:line="240" w:lineRule="auto" w:before="0" w:after="0"/>
              <w:ind w:firstLine="0"/>
              <w:jc w:val="center"/>
            </w:pPr>
            <w:r>
              <w:rPr>
                <w:rFonts w:ascii="Liberation Serif" w:hAnsi="Liberation Serif"/>
                <w:sz w:val="24"/>
              </w:rPr>
              <w:t>+8,9</w:t>
            </w:r>
          </w:p>
        </w:tc>
      </w:tr>
    </w:tbl>
    <w:p>
      <w:r>
        <w:t>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r>
        <w:t>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r>
        <w:t>Существенное влияние на структуру рынка оказывают изменения в нормативно-технической базе отрасли, произошедшие в период 2024–2026 годов. Обновлённый национальный стандарт ГОСТ Р 53325-2024 «Технические средства пожарной автоматики», заменивший редакцию 2012 года, установил беспрецедентно высокие планки качества для производителей оборудования. В частности, норматив защиты извещателей от электромагнитных помех увеличен более чем в три раза — с 3 В/м до 10 В/м; для уличных извещателей введён обязательный класс защиты не ниже IP65; минимальный гарантированный срок службы оборудования пожарной автоматики увеличен с 7 до 10 лет. Указанные требования фактически вытеснили с рынка низкотехнологичные моносенсорные устройства и обязали производителей использовать электронные компоненты промышленного класса.</w:t>
      </w:r>
    </w:p>
    <w:p>
      <w:r>
        <w:t>Свод правил СП 484.1311500.2020, регламентирующий нормы проектирования систем пожарной сигнализации, претерпел существенные доработки. Изменение №1 к СП 484, вступившее в силу с 1 сентября 2025 года, фундаментально изменило подход к топологии кабельных трасс и отказоустойчивости. Ключевым требованием стало повышение живучести адресной линии связи при единичной неисправности: допустимое число потерянных извещателей при коротком замыкании или обрыве линии снижено с 32 до 24 для автоматических извещателей и не более 1 для ручных пожарных извещателей. Это техническое требование сделало обязательным повсеместное применение изоляторов короткого замыкания, встраиваемых непосредственно в базу каждого адресного извещателя.</w:t>
      </w:r>
    </w:p>
    <w:p>
      <w:r>
        <w:t>Фундаментальным драйвером спроса на пожарные извещатели выступает строительный сектор, обладающий абсолютной эластичностью по отношению к объёмам ввода зданий и сооружений. В соответствии с требованиями Федерального закона №123-ФЗ «Технический регламент о требованиях пожарной безопасности» любое здание перед вводом в эксплуатацию обязано быть оснащено инженерными системами противопожарной защиты. По итогам 2025 года общий объём ввода жилья в Российской Федерации составил 108,1 миллиона квадратных метров, а за первые четыре месяца 2026 года в стране было введено в эксплуатацию ещё почти 29 миллионов квадратных метров жилой недвижимости. Структура ввода характеризуется стагнацией сегмента многоквартирных домов (44,6 миллиона квадратных метров, -2%) и одновременным бумом индивидуального жилищного строительства (63,5 миллиона квадратных метров, +2%, или 59% совокупного ввода).</w:t>
      </w:r>
    </w:p>
    <w:p>
      <w:r>
        <w:t>Сектор коммерческой и промышленной недвижимости в 2025–2026 годах стал главным потребителем высокотехнологичных систем пожарной автоматики. В 2025 году рынок складской недвижимости в России установил абсолютный исторический рекорд: было введено в эксплуатацию от 7,6 до 7,8 миллиона квадратных метров новых площадей, что в 1,7 раза превысило показатели 2024 года. Специфика современных логистических комплексов классов «А» и «А+» (высота потолков от 12 метров, многоярусные мезонины, высокая концентрация горючей упаковки) делает традиционные точечные пожарные извещатели неэффективными. Данная тенденция формирует биполярный спрос: жилой сектор требует миллионов недорогих автономных устройств, а промышленность и логистика — сверхнадёжных адресных платформ и комбинированных извещателей.</w:t>
      </w:r>
    </w:p>
    <w:p>
      <w:r>
        <w:t>Совокупность ужесточившихся норм ГОСТ Р 53325-2024 и архитектурных требований сводов правил привела к тому, что использование примитивных моносенсорных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мультикритериальные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«B»,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монтажных организаций с лицензией МЧС, из которых около 60% относятся к субъектам малого и среднего предпринимательства.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r>
        <w:t>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OEM-производители,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SMT-монтаж и собственная финишная сборка), к которой относится и проектируемое предприятие.</w:t>
      </w:r>
    </w:p>
    <w:p>
      <w:pPr>
        <w:pStyle w:val="TableCaption"/>
      </w:pPr>
      <w:r>
        <w:t>Таблица 2 – Сравнительный анализ основных групп производителей комбинированных пожарных извещателей на российском рынке</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Крупные корпорации (Болид, Рубеж)</w:t>
            </w:r>
          </w:p>
        </w:tc>
        <w:tc>
          <w:tcPr>
            <w:tcW w:type="dxa" w:w="2422"/>
          </w:tcPr>
          <w:p>
            <w:pPr>
              <w:spacing w:line="240" w:lineRule="auto" w:before="0" w:after="0"/>
              <w:ind w:firstLine="0"/>
            </w:pPr>
            <w:r>
              <w:rPr>
                <w:rFonts w:ascii="Liberation Serif" w:hAnsi="Liberation Serif"/>
                <w:sz w:val="24"/>
              </w:rPr>
              <w:t>Азиатские OEM</w:t>
            </w:r>
          </w:p>
        </w:tc>
        <w:tc>
          <w:tcPr>
            <w:tcW w:type="dxa" w:w="2422"/>
          </w:tcPr>
          <w:p>
            <w:pPr>
              <w:spacing w:line="240" w:lineRule="auto" w:before="0" w:after="0"/>
              <w:ind w:firstLine="0"/>
            </w:pPr>
            <w:r>
              <w:rPr>
                <w:rFonts w:ascii="Liberation Serif" w:hAnsi="Liberation Serif"/>
                <w:sz w:val="24"/>
              </w:rPr>
              <w:t>ООО «СигналПром»</w:t>
            </w:r>
          </w:p>
        </w:tc>
      </w:tr>
      <w:tr>
        <w:tc>
          <w:tcPr>
            <w:tcW w:type="dxa" w:w="2422"/>
          </w:tcPr>
          <w:p>
            <w:pPr>
              <w:spacing w:line="240" w:lineRule="auto" w:before="0" w:after="0"/>
              <w:ind w:firstLine="0"/>
            </w:pPr>
            <w:r>
              <w:rPr>
                <w:rFonts w:ascii="Liberation Serif" w:hAnsi="Liberation Serif"/>
                <w:sz w:val="24"/>
              </w:rPr>
              <w:t>Целевой сегмент</w:t>
            </w:r>
          </w:p>
        </w:tc>
        <w:tc>
          <w:tcPr>
            <w:tcW w:type="dxa" w:w="2422"/>
          </w:tcPr>
          <w:p>
            <w:pPr>
              <w:spacing w:line="240" w:lineRule="auto" w:before="0" w:after="0"/>
              <w:ind w:firstLine="0"/>
            </w:pPr>
            <w:r>
              <w:rPr>
                <w:rFonts w:ascii="Liberation Serif" w:hAnsi="Liberation Serif"/>
                <w:sz w:val="24"/>
              </w:rPr>
              <w:t>Госзаказ, критическая инфраструктура, мега-проекты</w:t>
            </w:r>
          </w:p>
        </w:tc>
        <w:tc>
          <w:tcPr>
            <w:tcW w:type="dxa" w:w="2422"/>
          </w:tcPr>
          <w:p>
            <w:pPr>
              <w:spacing w:line="240" w:lineRule="auto" w:before="0" w:after="0"/>
              <w:ind w:firstLine="0"/>
            </w:pPr>
            <w:r>
              <w:rPr>
                <w:rFonts w:ascii="Liberation Serif" w:hAnsi="Liberation Serif"/>
                <w:sz w:val="24"/>
              </w:rPr>
              <w:t>Нерегулируемый сектор, серый рынок</w:t>
            </w:r>
          </w:p>
        </w:tc>
        <w:tc>
          <w:tcPr>
            <w:tcW w:type="dxa" w:w="2422"/>
          </w:tcPr>
          <w:p>
            <w:pPr>
              <w:spacing w:line="240" w:lineRule="auto" w:before="0" w:after="0"/>
              <w:ind w:firstLine="0"/>
            </w:pPr>
            <w:r>
              <w:rPr>
                <w:rFonts w:ascii="Liberation Serif" w:hAnsi="Liberation Serif"/>
                <w:sz w:val="24"/>
              </w:rPr>
              <w:t>B2B: монтажные организации, средний бизнес</w:t>
            </w:r>
          </w:p>
        </w:tc>
      </w:tr>
      <w:tr>
        <w:tc>
          <w:tcPr>
            <w:tcW w:type="dxa" w:w="2422"/>
          </w:tcPr>
          <w:p>
            <w:pPr>
              <w:spacing w:line="240" w:lineRule="auto" w:before="0" w:after="0"/>
              <w:ind w:firstLine="0"/>
            </w:pPr>
            <w:r>
              <w:rPr>
                <w:rFonts w:ascii="Liberation Serif" w:hAnsi="Liberation Serif"/>
                <w:sz w:val="24"/>
              </w:rPr>
              <w:t>Технологическая модель</w:t>
            </w:r>
          </w:p>
        </w:tc>
        <w:tc>
          <w:tcPr>
            <w:tcW w:type="dxa" w:w="2422"/>
          </w:tcPr>
          <w:p>
            <w:pPr>
              <w:spacing w:line="240" w:lineRule="auto" w:before="0" w:after="0"/>
              <w:ind w:firstLine="0"/>
            </w:pPr>
            <w:r>
              <w:rPr>
                <w:rFonts w:ascii="Liberation Serif" w:hAnsi="Liberation Serif"/>
                <w:sz w:val="24"/>
              </w:rPr>
              <w:t>Полный цикл, роботизированные SMT-линии</w:t>
            </w:r>
          </w:p>
        </w:tc>
        <w:tc>
          <w:tcPr>
            <w:tcW w:type="dxa" w:w="2422"/>
          </w:tcPr>
          <w:p>
            <w:pPr>
              <w:spacing w:line="240" w:lineRule="auto" w:before="0" w:after="0"/>
              <w:ind w:firstLine="0"/>
            </w:pPr>
            <w:r>
              <w:rPr>
                <w:rFonts w:ascii="Liberation Serif" w:hAnsi="Liberation Serif"/>
                <w:sz w:val="24"/>
              </w:rPr>
              <w:t>Импорт готовых изделий или SKD-сборка</w:t>
            </w:r>
          </w:p>
        </w:tc>
        <w:tc>
          <w:tcPr>
            <w:tcW w:type="dxa" w:w="2422"/>
          </w:tcPr>
          <w:p>
            <w:pPr>
              <w:spacing w:line="240" w:lineRule="auto" w:before="0" w:after="0"/>
              <w:ind w:firstLine="0"/>
            </w:pPr>
            <w:r>
              <w:rPr>
                <w:rFonts w:ascii="Liberation Serif" w:hAnsi="Liberation Serif"/>
                <w:sz w:val="24"/>
              </w:rPr>
              <w:t>Гибридная автоматизация: контрактный SMT + собственная сборка</w:t>
            </w:r>
          </w:p>
        </w:tc>
      </w:tr>
      <w:tr>
        <w:tc>
          <w:tcPr>
            <w:tcW w:type="dxa" w:w="2422"/>
          </w:tcPr>
          <w:p>
            <w:pPr>
              <w:spacing w:line="240" w:lineRule="auto" w:before="0" w:after="0"/>
              <w:ind w:firstLine="0"/>
            </w:pPr>
            <w:r>
              <w:rPr>
                <w:rFonts w:ascii="Liberation Serif" w:hAnsi="Liberation Serif"/>
                <w:sz w:val="24"/>
              </w:rPr>
              <w:t>CAPEX</w:t>
            </w:r>
          </w:p>
        </w:tc>
        <w:tc>
          <w:tcPr>
            <w:tcW w:type="dxa" w:w="2422"/>
          </w:tcPr>
          <w:p>
            <w:pPr>
              <w:spacing w:line="240" w:lineRule="auto" w:before="0" w:after="0"/>
              <w:ind w:firstLine="0"/>
            </w:pPr>
            <w:r>
              <w:rPr>
                <w:rFonts w:ascii="Liberation Serif" w:hAnsi="Liberation Serif"/>
                <w:sz w:val="24"/>
              </w:rPr>
              <w:t>Свыше 120 млн руб.</w:t>
            </w:r>
          </w:p>
        </w:tc>
        <w:tc>
          <w:tcPr>
            <w:tcW w:type="dxa" w:w="2422"/>
          </w:tcPr>
          <w:p>
            <w:pPr>
              <w:spacing w:line="240" w:lineRule="auto" w:before="0" w:after="0"/>
              <w:ind w:firstLine="0"/>
            </w:pPr>
            <w:r>
              <w:rPr>
                <w:rFonts w:ascii="Liberation Serif" w:hAnsi="Liberation Serif"/>
                <w:sz w:val="24"/>
              </w:rPr>
              <w:t>Минимальный (импортная логистика)</w:t>
            </w:r>
          </w:p>
        </w:tc>
        <w:tc>
          <w:tcPr>
            <w:tcW w:type="dxa" w:w="2422"/>
          </w:tcPr>
          <w:p>
            <w:pPr>
              <w:spacing w:line="240" w:lineRule="auto" w:before="0" w:after="0"/>
              <w:ind w:firstLine="0"/>
            </w:pPr>
            <w:r>
              <w:rPr>
                <w:rFonts w:ascii="Liberation Serif" w:hAnsi="Liberation Serif"/>
                <w:sz w:val="24"/>
              </w:rPr>
              <w:t>5–7 млн руб.</w:t>
            </w:r>
          </w:p>
        </w:tc>
      </w:tr>
      <w:tr>
        <w:tc>
          <w:tcPr>
            <w:tcW w:type="dxa" w:w="2422"/>
          </w:tcPr>
          <w:p>
            <w:pPr>
              <w:spacing w:line="240" w:lineRule="auto" w:before="0" w:after="0"/>
              <w:ind w:firstLine="0"/>
            </w:pPr>
            <w:r>
              <w:rPr>
                <w:rFonts w:ascii="Liberation Serif" w:hAnsi="Liberation Serif"/>
                <w:sz w:val="24"/>
              </w:rPr>
              <w:t>Контроль качества</w:t>
            </w:r>
          </w:p>
        </w:tc>
        <w:tc>
          <w:tcPr>
            <w:tcW w:type="dxa" w:w="2422"/>
          </w:tcPr>
          <w:p>
            <w:pPr>
              <w:spacing w:line="240" w:lineRule="auto" w:before="0" w:after="0"/>
              <w:ind w:firstLine="0"/>
            </w:pPr>
            <w:r>
              <w:rPr>
                <w:rFonts w:ascii="Liberation Serif" w:hAnsi="Liberation Serif"/>
                <w:sz w:val="24"/>
              </w:rPr>
              <w:t>Выборочный статистический (1–5%)</w:t>
            </w:r>
          </w:p>
        </w:tc>
        <w:tc>
          <w:tcPr>
            <w:tcW w:type="dxa" w:w="2422"/>
          </w:tcPr>
          <w:p>
            <w:pPr>
              <w:spacing w:line="240" w:lineRule="auto" w:before="0" w:after="0"/>
              <w:ind w:firstLine="0"/>
            </w:pPr>
            <w:r>
              <w:rPr>
                <w:rFonts w:ascii="Liberation Serif" w:hAnsi="Liberation Serif"/>
                <w:sz w:val="24"/>
              </w:rPr>
              <w:t>Не гарантирован, частые ложные срабатывания</w:t>
            </w:r>
          </w:p>
        </w:tc>
        <w:tc>
          <w:tcPr>
            <w:tcW w:type="dxa" w:w="2422"/>
          </w:tcPr>
          <w:p>
            <w:pPr>
              <w:spacing w:line="240" w:lineRule="auto" w:before="0" w:after="0"/>
              <w:ind w:firstLine="0"/>
            </w:pPr>
            <w:r>
              <w:rPr>
                <w:rFonts w:ascii="Liberation Serif" w:hAnsi="Liberation Serif"/>
                <w:sz w:val="24"/>
              </w:rPr>
              <w:t>100% автоматизированное тестирование каждой единицы</w:t>
            </w:r>
          </w:p>
        </w:tc>
      </w:tr>
      <w:tr>
        <w:tc>
          <w:tcPr>
            <w:tcW w:type="dxa" w:w="2422"/>
          </w:tcPr>
          <w:p>
            <w:pPr>
              <w:spacing w:line="240" w:lineRule="auto" w:before="0" w:after="0"/>
              <w:ind w:firstLine="0"/>
            </w:pPr>
            <w:r>
              <w:rPr>
                <w:rFonts w:ascii="Liberation Serif" w:hAnsi="Liberation Serif"/>
                <w:sz w:val="24"/>
              </w:rPr>
              <w:t>Гибкость производства</w:t>
            </w:r>
          </w:p>
        </w:tc>
        <w:tc>
          <w:tcPr>
            <w:tcW w:type="dxa" w:w="2422"/>
          </w:tcPr>
          <w:p>
            <w:pPr>
              <w:spacing w:line="240" w:lineRule="auto" w:before="0" w:after="0"/>
              <w:ind w:firstLine="0"/>
            </w:pPr>
            <w:r>
              <w:rPr>
                <w:rFonts w:ascii="Liberation Serif" w:hAnsi="Liberation Serif"/>
                <w:sz w:val="24"/>
              </w:rPr>
              <w:t>Низкая (жёсткая настройка линий)</w:t>
            </w:r>
          </w:p>
        </w:tc>
        <w:tc>
          <w:tcPr>
            <w:tcW w:type="dxa" w:w="2422"/>
          </w:tcPr>
          <w:p>
            <w:pPr>
              <w:spacing w:line="240" w:lineRule="auto" w:before="0" w:after="0"/>
              <w:ind w:firstLine="0"/>
            </w:pPr>
            <w:r>
              <w:rPr>
                <w:rFonts w:ascii="Liberation Serif" w:hAnsi="Liberation Serif"/>
                <w:sz w:val="24"/>
              </w:rPr>
              <w:t>Средняя</w:t>
            </w:r>
          </w:p>
        </w:tc>
        <w:tc>
          <w:tcPr>
            <w:tcW w:type="dxa" w:w="2422"/>
          </w:tcPr>
          <w:p>
            <w:pPr>
              <w:spacing w:line="240" w:lineRule="auto" w:before="0" w:after="0"/>
              <w:ind w:firstLine="0"/>
            </w:pPr>
            <w:r>
              <w:rPr>
                <w:rFonts w:ascii="Liberation Serif" w:hAnsi="Liberation Serif"/>
                <w:sz w:val="24"/>
              </w:rPr>
              <w:t>Высокая: оперативная смена микрокода под ТЗ заказчика</w:t>
            </w:r>
          </w:p>
        </w:tc>
      </w:tr>
      <w:tr>
        <w:tc>
          <w:tcPr>
            <w:tcW w:type="dxa" w:w="2422"/>
          </w:tcPr>
          <w:p>
            <w:pPr>
              <w:spacing w:line="240" w:lineRule="auto" w:before="0" w:after="0"/>
              <w:ind w:firstLine="0"/>
            </w:pPr>
            <w:r>
              <w:rPr>
                <w:rFonts w:ascii="Liberation Serif" w:hAnsi="Liberation Serif"/>
                <w:sz w:val="24"/>
              </w:rPr>
              <w:t>Влияние технологического сбора с 01.09.2026</w:t>
            </w:r>
          </w:p>
        </w:tc>
        <w:tc>
          <w:tcPr>
            <w:tcW w:type="dxa" w:w="2422"/>
          </w:tcPr>
          <w:p>
            <w:pPr>
              <w:spacing w:line="240" w:lineRule="auto" w:before="0" w:after="0"/>
              <w:ind w:firstLine="0"/>
            </w:pPr>
            <w:r>
              <w:rPr>
                <w:rFonts w:ascii="Liberation Serif" w:hAnsi="Liberation Serif"/>
                <w:sz w:val="24"/>
              </w:rPr>
              <w:t>Отсутствует</w:t>
            </w:r>
          </w:p>
        </w:tc>
        <w:tc>
          <w:tcPr>
            <w:tcW w:type="dxa" w:w="2422"/>
          </w:tcPr>
          <w:p>
            <w:pPr>
              <w:spacing w:line="240" w:lineRule="auto" w:before="0" w:after="0"/>
              <w:ind w:firstLine="0"/>
            </w:pPr>
            <w:r>
              <w:rPr>
                <w:rFonts w:ascii="Liberation Serif" w:hAnsi="Liberation Serif"/>
                <w:sz w:val="24"/>
              </w:rPr>
              <w:t>Критическое (удорожание 60–150%)</w:t>
            </w:r>
          </w:p>
        </w:tc>
        <w:tc>
          <w:tcPr>
            <w:tcW w:type="dxa" w:w="2422"/>
          </w:tcPr>
          <w:p>
            <w:pPr>
              <w:spacing w:line="240" w:lineRule="auto" w:before="0" w:after="0"/>
              <w:ind w:firstLine="0"/>
            </w:pPr>
            <w:r>
              <w:rPr>
                <w:rFonts w:ascii="Liberation Serif" w:hAnsi="Liberation Serif"/>
                <w:sz w:val="24"/>
              </w:rPr>
              <w:t>Отсутствует (импорт рассыпной ЭКБ не облагается)</w:t>
            </w:r>
          </w:p>
        </w:tc>
      </w:tr>
    </w:tbl>
    <w:p>
      <w:r>
        <w:t>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дымо-тепловые извещатели среднего ценового сегмента варьируются в диапазоне 1 300–3 100 рублей за единицу. В частности, широко распространённая модель ИП 212/101-4-A1R «ПРОФИ-ОТ» (прямой функциональный аналог проектируемой продукции) реализуется по розничной цене 1 578 рублей; модель ИП 212/101-18-A3R1 класса A3R1 — по цене 3 104 рубля. На нижней границе сегмента представлены моносенсорные дымовые и тепловые извещатели стоимостью 162–900 рублей, которые не являются прямыми конкурентами комбинированных устройств.</w:t>
      </w:r>
    </w:p>
    <w:p>
      <w:pPr>
        <w:pStyle w:val="TableCaption"/>
      </w:pPr>
      <w:r>
        <w:t>Таблица 3 – Сравнительный анализ отпускных цен производителей пожарных извещателей по состоянию на май 2026 года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Модель</w:t>
            </w:r>
          </w:p>
        </w:tc>
        <w:tc>
          <w:tcPr>
            <w:tcW w:type="dxa" w:w="2422"/>
          </w:tcPr>
          <w:p>
            <w:pPr>
              <w:spacing w:line="240" w:lineRule="auto" w:before="0" w:after="0"/>
              <w:ind w:firstLine="0"/>
            </w:pPr>
            <w:r>
              <w:rPr>
                <w:rFonts w:ascii="Liberation Serif" w:hAnsi="Liberation Serif"/>
                <w:sz w:val="24"/>
              </w:rPr>
              <w:t>Производитель</w:t>
            </w:r>
          </w:p>
        </w:tc>
        <w:tc>
          <w:tcPr>
            <w:tcW w:type="dxa" w:w="2422"/>
          </w:tcPr>
          <w:p>
            <w:pPr>
              <w:spacing w:line="240" w:lineRule="auto" w:before="0" w:after="0"/>
              <w:ind w:firstLine="0"/>
            </w:pPr>
            <w:r>
              <w:rPr>
                <w:rFonts w:ascii="Liberation Serif" w:hAnsi="Liberation Serif"/>
                <w:sz w:val="24"/>
              </w:rPr>
              <w:t>Тип</w:t>
            </w:r>
          </w:p>
        </w:tc>
        <w:tc>
          <w:tcPr>
            <w:tcW w:type="dxa" w:w="2422"/>
          </w:tcPr>
          <w:p>
            <w:pPr>
              <w:spacing w:line="240" w:lineRule="auto" w:before="0" w:after="0"/>
              <w:ind w:firstLine="0"/>
            </w:pPr>
            <w:r>
              <w:rPr>
                <w:rFonts w:ascii="Liberation Serif" w:hAnsi="Liberation Serif"/>
                <w:sz w:val="24"/>
              </w:rPr>
              <w:t>Розничная цена, руб.</w:t>
            </w:r>
          </w:p>
        </w:tc>
      </w:tr>
      <w:tr>
        <w:tc>
          <w:tcPr>
            <w:tcW w:type="dxa" w:w="2422"/>
          </w:tcPr>
          <w:p>
            <w:pPr>
              <w:spacing w:line="240" w:lineRule="auto" w:before="0" w:after="0"/>
              <w:ind w:firstLine="0"/>
            </w:pPr>
            <w:r>
              <w:rPr>
                <w:rFonts w:ascii="Liberation Serif" w:hAnsi="Liberation Serif"/>
                <w:sz w:val="24"/>
              </w:rPr>
              <w:t>ИП 103-5/4-А0</w:t>
            </w:r>
          </w:p>
        </w:tc>
        <w:tc>
          <w:tcPr>
            <w:tcW w:type="dxa" w:w="2422"/>
          </w:tcPr>
          <w:p>
            <w:pPr>
              <w:spacing w:line="240" w:lineRule="auto" w:before="0" w:after="0"/>
              <w:ind w:firstLine="0"/>
            </w:pPr>
            <w:r>
              <w:rPr>
                <w:rFonts w:ascii="Liberation Serif" w:hAnsi="Liberation Serif"/>
                <w:sz w:val="24"/>
              </w:rPr>
              <w:t>Система-Сервис</w:t>
            </w:r>
          </w:p>
        </w:tc>
        <w:tc>
          <w:tcPr>
            <w:tcW w:type="dxa" w:w="2422"/>
          </w:tcPr>
          <w:p>
            <w:pPr>
              <w:spacing w:line="240" w:lineRule="auto" w:before="0" w:after="0"/>
              <w:ind w:firstLine="0"/>
            </w:pPr>
            <w:r>
              <w:rPr>
                <w:rFonts w:ascii="Liberation Serif" w:hAnsi="Liberation Serif"/>
                <w:sz w:val="24"/>
              </w:rPr>
              <w:t>Тепловой максимальный</w:t>
            </w:r>
          </w:p>
        </w:tc>
        <w:tc>
          <w:tcPr>
            <w:tcW w:type="dxa" w:w="2422"/>
          </w:tcPr>
          <w:p>
            <w:pPr>
              <w:spacing w:line="240" w:lineRule="auto" w:before="0" w:after="0"/>
              <w:ind w:firstLine="0"/>
            </w:pPr>
            <w:r>
              <w:rPr>
                <w:rFonts w:ascii="Liberation Serif" w:hAnsi="Liberation Serif"/>
                <w:sz w:val="24"/>
              </w:rPr>
              <w:t>162</w:t>
            </w:r>
          </w:p>
        </w:tc>
      </w:tr>
      <w:tr>
        <w:tc>
          <w:tcPr>
            <w:tcW w:type="dxa" w:w="2422"/>
          </w:tcPr>
          <w:p>
            <w:pPr>
              <w:spacing w:line="240" w:lineRule="auto" w:before="0" w:after="0"/>
              <w:ind w:firstLine="0"/>
            </w:pPr>
            <w:r>
              <w:rPr>
                <w:rFonts w:ascii="Liberation Serif" w:hAnsi="Liberation Serif"/>
                <w:sz w:val="24"/>
              </w:rPr>
              <w:t>ДИП-34ПА</w:t>
            </w:r>
          </w:p>
        </w:tc>
        <w:tc>
          <w:tcPr>
            <w:tcW w:type="dxa" w:w="2422"/>
          </w:tcPr>
          <w:p>
            <w:pPr>
              <w:spacing w:line="240" w:lineRule="auto" w:before="0" w:after="0"/>
              <w:ind w:firstLine="0"/>
            </w:pPr>
            <w:r>
              <w:rPr>
                <w:rFonts w:ascii="Liberation Serif" w:hAnsi="Liberation Serif"/>
                <w:sz w:val="24"/>
              </w:rPr>
              <w:t>Болид</w:t>
            </w:r>
          </w:p>
        </w:tc>
        <w:tc>
          <w:tcPr>
            <w:tcW w:type="dxa" w:w="2422"/>
          </w:tcPr>
          <w:p>
            <w:pPr>
              <w:spacing w:line="240" w:lineRule="auto" w:before="0" w:after="0"/>
              <w:ind w:firstLine="0"/>
            </w:pPr>
            <w:r>
              <w:rPr>
                <w:rFonts w:ascii="Liberation Serif" w:hAnsi="Liberation Serif"/>
                <w:sz w:val="24"/>
              </w:rPr>
              <w:t>Адресный дымовой</w:t>
            </w:r>
          </w:p>
        </w:tc>
        <w:tc>
          <w:tcPr>
            <w:tcW w:type="dxa" w:w="2422"/>
          </w:tcPr>
          <w:p>
            <w:pPr>
              <w:spacing w:line="240" w:lineRule="auto" w:before="0" w:after="0"/>
              <w:ind w:firstLine="0"/>
            </w:pPr>
            <w:r>
              <w:rPr>
                <w:rFonts w:ascii="Liberation Serif" w:hAnsi="Liberation Serif"/>
                <w:sz w:val="24"/>
              </w:rPr>
              <w:t>800</w:t>
            </w:r>
          </w:p>
        </w:tc>
      </w:tr>
      <w:tr>
        <w:tc>
          <w:tcPr>
            <w:tcW w:type="dxa" w:w="2422"/>
          </w:tcPr>
          <w:p>
            <w:pPr>
              <w:spacing w:line="240" w:lineRule="auto" w:before="0" w:after="0"/>
              <w:ind w:firstLine="0"/>
            </w:pPr>
            <w:r>
              <w:rPr>
                <w:rFonts w:ascii="Liberation Serif" w:hAnsi="Liberation Serif"/>
                <w:sz w:val="24"/>
              </w:rPr>
              <w:t>ИП 212/101-4-A1R «ПРОФИ-ОТ»</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A1R</w:t>
            </w:r>
          </w:p>
        </w:tc>
        <w:tc>
          <w:tcPr>
            <w:tcW w:type="dxa" w:w="2422"/>
          </w:tcPr>
          <w:p>
            <w:pPr>
              <w:spacing w:line="240" w:lineRule="auto" w:before="0" w:after="0"/>
              <w:ind w:firstLine="0"/>
            </w:pPr>
            <w:r>
              <w:rPr>
                <w:rFonts w:ascii="Liberation Serif" w:hAnsi="Liberation Serif"/>
                <w:sz w:val="24"/>
              </w:rPr>
              <w:t>1 578</w:t>
            </w:r>
          </w:p>
        </w:tc>
      </w:tr>
      <w:tr>
        <w:tc>
          <w:tcPr>
            <w:tcW w:type="dxa" w:w="2422"/>
          </w:tcPr>
          <w:p>
            <w:pPr>
              <w:spacing w:line="240" w:lineRule="auto" w:before="0" w:after="0"/>
              <w:ind w:firstLine="0"/>
            </w:pPr>
            <w:r>
              <w:rPr>
                <w:rFonts w:ascii="Liberation Serif" w:hAnsi="Liberation Serif"/>
                <w:sz w:val="24"/>
              </w:rPr>
              <w:t>ИП 212/101-18-A3R1</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A3R1</w:t>
            </w:r>
          </w:p>
        </w:tc>
        <w:tc>
          <w:tcPr>
            <w:tcW w:type="dxa" w:w="2422"/>
          </w:tcPr>
          <w:p>
            <w:pPr>
              <w:spacing w:line="240" w:lineRule="auto" w:before="0" w:after="0"/>
              <w:ind w:firstLine="0"/>
            </w:pPr>
            <w:r>
              <w:rPr>
                <w:rFonts w:ascii="Liberation Serif" w:hAnsi="Liberation Serif"/>
                <w:sz w:val="24"/>
              </w:rPr>
              <w:t>3 104</w:t>
            </w:r>
          </w:p>
        </w:tc>
      </w:tr>
      <w:tr>
        <w:tc>
          <w:tcPr>
            <w:tcW w:type="dxa" w:w="2422"/>
          </w:tcPr>
          <w:p>
            <w:pPr>
              <w:spacing w:line="240" w:lineRule="auto" w:before="0" w:after="0"/>
              <w:ind w:firstLine="0"/>
            </w:pPr>
            <w:r>
              <w:rPr>
                <w:rFonts w:ascii="Liberation Serif" w:hAnsi="Liberation Serif"/>
                <w:sz w:val="24"/>
              </w:rPr>
              <w:t>ИП 101 «Гранат»</w:t>
            </w:r>
          </w:p>
        </w:tc>
        <w:tc>
          <w:tcPr>
            <w:tcW w:type="dxa" w:w="2422"/>
          </w:tcPr>
          <w:p>
            <w:pPr>
              <w:spacing w:line="240" w:lineRule="auto" w:before="0" w:after="0"/>
              <w:ind w:firstLine="0"/>
            </w:pPr>
            <w:r>
              <w:rPr>
                <w:rFonts w:ascii="Liberation Serif" w:hAnsi="Liberation Serif"/>
                <w:sz w:val="24"/>
              </w:rPr>
              <w:t>Ирсэт-Центр</w:t>
            </w:r>
          </w:p>
        </w:tc>
        <w:tc>
          <w:tcPr>
            <w:tcW w:type="dxa" w:w="2422"/>
          </w:tcPr>
          <w:p>
            <w:pPr>
              <w:spacing w:line="240" w:lineRule="auto" w:before="0" w:after="0"/>
              <w:ind w:firstLine="0"/>
            </w:pPr>
            <w:r>
              <w:rPr>
                <w:rFonts w:ascii="Liberation Serif" w:hAnsi="Liberation Serif"/>
                <w:sz w:val="24"/>
              </w:rPr>
              <w:t>Тепловой максимальный IP67</w:t>
            </w:r>
          </w:p>
        </w:tc>
        <w:tc>
          <w:tcPr>
            <w:tcW w:type="dxa" w:w="2422"/>
          </w:tcPr>
          <w:p>
            <w:pPr>
              <w:spacing w:line="240" w:lineRule="auto" w:before="0" w:after="0"/>
              <w:ind w:firstLine="0"/>
            </w:pPr>
            <w:r>
              <w:rPr>
                <w:rFonts w:ascii="Liberation Serif" w:hAnsi="Liberation Serif"/>
                <w:sz w:val="24"/>
              </w:rPr>
              <w:t>5 369</w:t>
            </w:r>
          </w:p>
        </w:tc>
      </w:tr>
    </w:tbl>
    <w:p>
      <w:r>
        <w:t>Отпускная цена проектируемой продукции для монтажных организаций (оптовый B2B-канал) установлена на уровне 1 800 рублей за комбинированный извещатель и 350 рублей за монтажную базу с интегрированным изолятором короткого замыкания. Данный уровень цен 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pPr>
        <w:pStyle w:val="TableCaption"/>
      </w:pPr>
      <w:r>
        <w:t>Таблица 4 – План сбыта продукции предприятия по видам продукции и прогноз годовой выручки на проектной мощности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0" w:after="0"/>
              <w:ind w:firstLine="0"/>
              <w:jc w:val="center"/>
            </w:pPr>
            <w:r>
              <w:rPr>
                <w:rFonts w:ascii="Liberation Serif" w:hAnsi="Liberation Serif"/>
                <w:sz w:val="24"/>
              </w:rPr>
              <w:t>Наименование продукции</w:t>
            </w:r>
          </w:p>
        </w:tc>
        <w:tc>
          <w:tcPr>
            <w:tcW w:type="dxa" w:w="1938"/>
          </w:tcPr>
          <w:p>
            <w:pPr>
              <w:spacing w:line="240" w:lineRule="auto" w:before="0" w:after="0"/>
              <w:ind w:firstLine="0"/>
              <w:jc w:val="center"/>
            </w:pPr>
            <w:r>
              <w:rPr>
                <w:rFonts w:ascii="Liberation Serif" w:hAnsi="Liberation Serif"/>
                <w:sz w:val="24"/>
              </w:rPr>
              <w:t>Отпускная цена, руб.</w:t>
            </w:r>
          </w:p>
        </w:tc>
        <w:tc>
          <w:tcPr>
            <w:tcW w:type="dxa" w:w="1938"/>
          </w:tcPr>
          <w:p>
            <w:pPr>
              <w:spacing w:line="240" w:lineRule="auto" w:before="0" w:after="0"/>
              <w:ind w:firstLine="0"/>
              <w:jc w:val="center"/>
            </w:pPr>
            <w:r>
              <w:rPr>
                <w:rFonts w:ascii="Liberation Serif" w:hAnsi="Liberation Serif"/>
                <w:sz w:val="24"/>
              </w:rPr>
              <w:t>Объём, шт./мес.</w:t>
            </w:r>
          </w:p>
        </w:tc>
        <w:tc>
          <w:tcPr>
            <w:tcW w:type="dxa" w:w="1938"/>
          </w:tcPr>
          <w:p>
            <w:pPr>
              <w:spacing w:line="240" w:lineRule="auto" w:before="0" w:after="0"/>
              <w:ind w:firstLine="0"/>
              <w:jc w:val="center"/>
            </w:pPr>
            <w:r>
              <w:rPr>
                <w:rFonts w:ascii="Liberation Serif" w:hAnsi="Liberation Serif"/>
                <w:sz w:val="24"/>
              </w:rPr>
              <w:t>Выручка, руб./мес.</w:t>
            </w:r>
          </w:p>
        </w:tc>
        <w:tc>
          <w:tcPr>
            <w:tcW w:type="dxa" w:w="1938"/>
          </w:tcPr>
          <w:p>
            <w:pPr>
              <w:spacing w:line="240" w:lineRule="auto" w:before="0" w:after="0"/>
              <w:ind w:firstLine="0"/>
              <w:jc w:val="center"/>
            </w:pPr>
            <w:r>
              <w:rPr>
                <w:rFonts w:ascii="Liberation Serif" w:hAnsi="Liberation Serif"/>
                <w:sz w:val="24"/>
              </w:rPr>
              <w:t>Выручка в год, руб.</w:t>
            </w:r>
          </w:p>
        </w:tc>
      </w:tr>
      <w:tr>
        <w:tc>
          <w:tcPr>
            <w:tcW w:type="dxa" w:w="1938"/>
          </w:tcPr>
          <w:p>
            <w:pPr>
              <w:spacing w:line="240" w:lineRule="auto" w:before="0" w:after="0"/>
              <w:ind w:firstLine="0"/>
              <w:jc w:val="center"/>
            </w:pPr>
            <w:r>
              <w:rPr>
                <w:rFonts w:ascii="Liberation Serif" w:hAnsi="Liberation Serif"/>
                <w:sz w:val="24"/>
              </w:rPr>
              <w:t>Извещатель комбинированный дымо-тепловой</w:t>
            </w:r>
          </w:p>
        </w:tc>
        <w:tc>
          <w:tcPr>
            <w:tcW w:type="dxa" w:w="1938"/>
          </w:tcPr>
          <w:p>
            <w:pPr>
              <w:spacing w:line="240" w:lineRule="auto" w:before="0" w:after="0"/>
              <w:ind w:firstLine="0"/>
              <w:jc w:val="center"/>
            </w:pPr>
            <w:r>
              <w:rPr>
                <w:rFonts w:ascii="Liberation Serif" w:hAnsi="Liberation Serif"/>
                <w:sz w:val="24"/>
              </w:rPr>
              <w:t>1 200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840 000</w:t>
            </w:r>
          </w:p>
        </w:tc>
        <w:tc>
          <w:tcPr>
            <w:tcW w:type="dxa" w:w="1938"/>
          </w:tcPr>
          <w:p>
            <w:pPr>
              <w:spacing w:line="240" w:lineRule="auto" w:before="0" w:after="0"/>
              <w:ind w:firstLine="0"/>
              <w:jc w:val="center"/>
            </w:pPr>
            <w:r>
              <w:rPr>
                <w:rFonts w:ascii="Liberation Serif" w:hAnsi="Liberation Serif"/>
                <w:sz w:val="24"/>
              </w:rPr>
              <w:t>10 080 000</w:t>
            </w:r>
          </w:p>
        </w:tc>
      </w:tr>
      <w:tr>
        <w:tc>
          <w:tcPr>
            <w:tcW w:type="dxa" w:w="1938"/>
          </w:tcPr>
          <w:p>
            <w:pPr>
              <w:spacing w:line="240" w:lineRule="auto" w:before="0" w:after="0"/>
              <w:ind w:firstLine="0"/>
              <w:jc w:val="center"/>
            </w:pPr>
            <w:r>
              <w:rPr>
                <w:rFonts w:ascii="Liberation Serif" w:hAnsi="Liberation Serif"/>
                <w:sz w:val="24"/>
              </w:rPr>
              <w:t>Монтажная база с изолятором КЗ</w:t>
            </w:r>
          </w:p>
        </w:tc>
        <w:tc>
          <w:tcPr>
            <w:tcW w:type="dxa" w:w="1938"/>
          </w:tcPr>
          <w:p>
            <w:pPr>
              <w:spacing w:line="240" w:lineRule="auto" w:before="0" w:after="0"/>
              <w:ind w:firstLine="0"/>
              <w:jc w:val="center"/>
            </w:pPr>
            <w:r>
              <w:rPr>
                <w:rFonts w:ascii="Liberation Serif" w:hAnsi="Liberation Serif"/>
                <w:sz w:val="24"/>
              </w:rPr>
              <w:t>250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175 000</w:t>
            </w:r>
          </w:p>
        </w:tc>
        <w:tc>
          <w:tcPr>
            <w:tcW w:type="dxa" w:w="1938"/>
          </w:tcPr>
          <w:p>
            <w:pPr>
              <w:spacing w:line="240" w:lineRule="auto" w:before="0" w:after="0"/>
              <w:ind w:firstLine="0"/>
              <w:jc w:val="center"/>
            </w:pPr>
            <w:r>
              <w:rPr>
                <w:rFonts w:ascii="Liberation Serif" w:hAnsi="Liberation Serif"/>
                <w:sz w:val="24"/>
              </w:rPr>
              <w:t>2 100 000</w:t>
            </w:r>
          </w:p>
        </w:tc>
      </w:tr>
      <w:tr>
        <w:tc>
          <w:tcPr>
            <w:tcW w:type="dxa" w:w="1938"/>
          </w:tcPr>
          <w:p>
            <w:pPr>
              <w:spacing w:line="240" w:lineRule="auto" w:before="0" w:after="0"/>
              <w:ind w:firstLine="0"/>
              <w:jc w:val="center"/>
            </w:pPr>
            <w:r>
              <w:rPr>
                <w:rFonts w:ascii="Liberation Serif" w:hAnsi="Liberation Serif"/>
                <w:sz w:val="24"/>
              </w:rPr>
              <w:t>Услуги пусконаладки, шефмонтажа</w:t>
            </w:r>
          </w:p>
        </w:tc>
        <w:tc>
          <w:tcPr>
            <w:tcW w:type="dxa" w:w="1938"/>
          </w:tcPr>
          <w:p>
            <w:pPr>
              <w:spacing w:line="240" w:lineRule="auto" w:before="0" w:after="0"/>
              <w:ind w:firstLine="0"/>
              <w:jc w:val="center"/>
            </w:pPr>
            <w:r>
              <w:rPr>
                <w:rFonts w:ascii="Liberation Serif" w:hAnsi="Liberation Serif"/>
                <w:sz w:val="24"/>
              </w:rPr>
              <w:t>5 000 / объект</w:t>
            </w:r>
          </w:p>
        </w:tc>
        <w:tc>
          <w:tcPr>
            <w:tcW w:type="dxa" w:w="1938"/>
          </w:tcPr>
          <w:p>
            <w:pPr>
              <w:spacing w:line="240" w:lineRule="auto" w:before="0" w:after="0"/>
              <w:ind w:firstLine="0"/>
              <w:jc w:val="center"/>
            </w:pPr>
            <w:r>
              <w:rPr>
                <w:rFonts w:ascii="Liberation Serif" w:hAnsi="Liberation Serif"/>
                <w:sz w:val="24"/>
              </w:rPr>
              <w:t>10</w:t>
            </w:r>
          </w:p>
        </w:tc>
        <w:tc>
          <w:tcPr>
            <w:tcW w:type="dxa" w:w="1938"/>
          </w:tcPr>
          <w:p>
            <w:pPr>
              <w:spacing w:line="240" w:lineRule="auto" w:before="0" w:after="0"/>
              <w:ind w:firstLine="0"/>
              <w:jc w:val="center"/>
            </w:pPr>
            <w:r>
              <w:rPr>
                <w:rFonts w:ascii="Liberation Serif" w:hAnsi="Liberation Serif"/>
                <w:sz w:val="24"/>
              </w:rPr>
              <w:t>50 000</w:t>
            </w:r>
          </w:p>
        </w:tc>
        <w:tc>
          <w:tcPr>
            <w:tcW w:type="dxa" w:w="1938"/>
          </w:tcPr>
          <w:p>
            <w:pPr>
              <w:spacing w:line="240" w:lineRule="auto" w:before="0" w:after="0"/>
              <w:ind w:firstLine="0"/>
              <w:jc w:val="center"/>
            </w:pPr>
            <w:r>
              <w:rPr>
                <w:rFonts w:ascii="Liberation Serif" w:hAnsi="Liberation Serif"/>
                <w:sz w:val="24"/>
              </w:rPr>
              <w:t>600 000</w:t>
            </w:r>
          </w:p>
        </w:tc>
      </w:tr>
      <w:tr>
        <w:tc>
          <w:tcPr>
            <w:tcW w:type="dxa" w:w="1938"/>
          </w:tcPr>
          <w:p>
            <w:pPr>
              <w:spacing w:line="240" w:lineRule="auto" w:before="0" w:after="0"/>
              <w:ind w:firstLine="0"/>
              <w:jc w:val="center"/>
            </w:pPr>
            <w:r>
              <w:rPr>
                <w:rFonts w:ascii="Liberation Serif" w:hAnsi="Liberation Serif"/>
                <w:sz w:val="24"/>
              </w:rPr>
              <w:t>ИТОГО</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1 555 000</w:t>
            </w:r>
          </w:p>
        </w:tc>
        <w:tc>
          <w:tcPr>
            <w:tcW w:type="dxa" w:w="1938"/>
          </w:tcPr>
          <w:p>
            <w:pPr>
              <w:spacing w:line="240" w:lineRule="auto" w:before="0" w:after="0"/>
              <w:ind w:firstLine="0"/>
              <w:jc w:val="center"/>
            </w:pPr>
            <w:r>
              <w:rPr>
                <w:rFonts w:ascii="Liberation Serif" w:hAnsi="Liberation Serif"/>
                <w:sz w:val="24"/>
              </w:rPr>
              <w:t>18 660 000</w:t>
            </w:r>
          </w:p>
        </w:tc>
      </w:tr>
    </w:tbl>
    <w:p>
      <w:r>
        <w:t>Прогноз годовой выручки на проектной мощности составляет 18,66 миллиона рублей, что находится ниже порогового значения 20 миллионов рублей, установленного для применения упрощённой системы налогообложения без обязанности уплаты налога на добавленную стоимость в переходный период 2026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административную нагрузку и обеспечивает дополнительную рентабельность по сравнению с предприятиями, превышающими указанный порог.</w:t>
      </w:r>
    </w:p>
    <w:p>
      <w:r>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pPr>
        <w:pStyle w:val="TableCaption"/>
      </w:pPr>
      <w:r>
        <w:t>Таблица 5 – Поэтапный план освоения проектной мощности в первый год операционной деятельности</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jc w:val="center"/>
            </w:pPr>
            <w:r>
              <w:rPr>
                <w:rFonts w:ascii="Liberation Serif" w:hAnsi="Liberation Serif"/>
                <w:sz w:val="24"/>
              </w:rPr>
              <w:t>Месяц</w:t>
            </w:r>
          </w:p>
        </w:tc>
        <w:tc>
          <w:tcPr>
            <w:tcW w:type="dxa" w:w="2422"/>
          </w:tcPr>
          <w:p>
            <w:pPr>
              <w:spacing w:line="240" w:lineRule="auto" w:before="0" w:after="0"/>
              <w:ind w:firstLine="0"/>
              <w:jc w:val="center"/>
            </w:pPr>
            <w:r>
              <w:rPr>
                <w:rFonts w:ascii="Liberation Serif" w:hAnsi="Liberation Serif"/>
                <w:sz w:val="24"/>
              </w:rPr>
              <w:t>Загрузка, %</w:t>
            </w:r>
          </w:p>
        </w:tc>
        <w:tc>
          <w:tcPr>
            <w:tcW w:type="dxa" w:w="2422"/>
          </w:tcPr>
          <w:p>
            <w:pPr>
              <w:spacing w:line="240" w:lineRule="auto" w:before="0" w:after="0"/>
              <w:ind w:firstLine="0"/>
              <w:jc w:val="center"/>
            </w:pPr>
            <w:r>
              <w:rPr>
                <w:rFonts w:ascii="Liberation Serif" w:hAnsi="Liberation Serif"/>
                <w:sz w:val="24"/>
              </w:rPr>
              <w:t>Объём выпуска, шт./мес.</w:t>
            </w:r>
          </w:p>
        </w:tc>
        <w:tc>
          <w:tcPr>
            <w:tcW w:type="dxa" w:w="2422"/>
          </w:tcPr>
          <w:p>
            <w:pPr>
              <w:spacing w:line="240" w:lineRule="auto" w:before="0" w:after="0"/>
              <w:ind w:firstLine="0"/>
              <w:jc w:val="center"/>
            </w:pPr>
            <w:r>
              <w:rPr>
                <w:rFonts w:ascii="Liberation Serif" w:hAnsi="Liberation Serif"/>
                <w:sz w:val="24"/>
              </w:rPr>
              <w:t>Выручка, руб./мес.</w:t>
            </w:r>
          </w:p>
        </w:tc>
      </w:tr>
      <w:tr>
        <w:tc>
          <w:tcPr>
            <w:tcW w:type="dxa" w:w="2422"/>
          </w:tcPr>
          <w:p>
            <w:pPr>
              <w:spacing w:line="240" w:lineRule="auto" w:before="0" w:after="0"/>
              <w:ind w:firstLine="0"/>
              <w:jc w:val="center"/>
            </w:pPr>
            <w:r>
              <w:rPr>
                <w:rFonts w:ascii="Liberation Serif" w:hAnsi="Liberation Serif"/>
                <w:sz w:val="24"/>
              </w:rPr>
              <w:t>1–2</w:t>
            </w:r>
          </w:p>
        </w:tc>
        <w:tc>
          <w:tcPr>
            <w:tcW w:type="dxa" w:w="2422"/>
          </w:tcPr>
          <w:p>
            <w:pPr>
              <w:spacing w:line="240" w:lineRule="auto" w:before="0" w:after="0"/>
              <w:ind w:firstLine="0"/>
              <w:jc w:val="center"/>
            </w:pPr>
            <w:r>
              <w:rPr>
                <w:rFonts w:ascii="Liberation Serif" w:hAnsi="Liberation Serif"/>
                <w:sz w:val="24"/>
              </w:rPr>
              <w:t>50</w:t>
            </w:r>
          </w:p>
        </w:tc>
        <w:tc>
          <w:tcPr>
            <w:tcW w:type="dxa" w:w="2422"/>
          </w:tcPr>
          <w:p>
            <w:pPr>
              <w:spacing w:line="240" w:lineRule="auto" w:before="0" w:after="0"/>
              <w:ind w:firstLine="0"/>
              <w:jc w:val="center"/>
            </w:pPr>
            <w:r>
              <w:rPr>
                <w:rFonts w:ascii="Liberation Serif" w:hAnsi="Liberation Serif"/>
                <w:sz w:val="24"/>
              </w:rPr>
              <w:t>350</w:t>
            </w:r>
          </w:p>
        </w:tc>
        <w:tc>
          <w:tcPr>
            <w:tcW w:type="dxa" w:w="2422"/>
          </w:tcPr>
          <w:p>
            <w:pPr>
              <w:spacing w:line="240" w:lineRule="auto" w:before="0" w:after="0"/>
              <w:ind w:firstLine="0"/>
              <w:jc w:val="center"/>
            </w:pPr>
            <w:r>
              <w:rPr>
                <w:rFonts w:ascii="Liberation Serif" w:hAnsi="Liberation Serif"/>
                <w:sz w:val="24"/>
              </w:rPr>
              <w:t>777 500</w:t>
            </w:r>
          </w:p>
        </w:tc>
      </w:tr>
      <w:tr>
        <w:tc>
          <w:tcPr>
            <w:tcW w:type="dxa" w:w="2422"/>
          </w:tcPr>
          <w:p>
            <w:pPr>
              <w:spacing w:line="240" w:lineRule="auto" w:before="0" w:after="0"/>
              <w:ind w:firstLine="0"/>
              <w:jc w:val="center"/>
            </w:pPr>
            <w:r>
              <w:rPr>
                <w:rFonts w:ascii="Liberation Serif" w:hAnsi="Liberation Serif"/>
                <w:sz w:val="24"/>
              </w:rPr>
              <w:t>3–4</w:t>
            </w:r>
          </w:p>
        </w:tc>
        <w:tc>
          <w:tcPr>
            <w:tcW w:type="dxa" w:w="2422"/>
          </w:tcPr>
          <w:p>
            <w:pPr>
              <w:spacing w:line="240" w:lineRule="auto" w:before="0" w:after="0"/>
              <w:ind w:firstLine="0"/>
              <w:jc w:val="center"/>
            </w:pPr>
            <w:r>
              <w:rPr>
                <w:rFonts w:ascii="Liberation Serif" w:hAnsi="Liberation Serif"/>
                <w:sz w:val="24"/>
              </w:rPr>
              <w:t>60</w:t>
            </w:r>
          </w:p>
        </w:tc>
        <w:tc>
          <w:tcPr>
            <w:tcW w:type="dxa" w:w="2422"/>
          </w:tcPr>
          <w:p>
            <w:pPr>
              <w:spacing w:line="240" w:lineRule="auto" w:before="0" w:after="0"/>
              <w:ind w:firstLine="0"/>
              <w:jc w:val="center"/>
            </w:pPr>
            <w:r>
              <w:rPr>
                <w:rFonts w:ascii="Liberation Serif" w:hAnsi="Liberation Serif"/>
                <w:sz w:val="24"/>
              </w:rPr>
              <w:t>420</w:t>
            </w:r>
          </w:p>
        </w:tc>
        <w:tc>
          <w:tcPr>
            <w:tcW w:type="dxa" w:w="2422"/>
          </w:tcPr>
          <w:p>
            <w:pPr>
              <w:spacing w:line="240" w:lineRule="auto" w:before="0" w:after="0"/>
              <w:ind w:firstLine="0"/>
              <w:jc w:val="center"/>
            </w:pPr>
            <w:r>
              <w:rPr>
                <w:rFonts w:ascii="Liberation Serif" w:hAnsi="Liberation Serif"/>
                <w:sz w:val="24"/>
              </w:rPr>
              <w:t>933 000</w:t>
            </w:r>
          </w:p>
        </w:tc>
      </w:tr>
      <w:tr>
        <w:tc>
          <w:tcPr>
            <w:tcW w:type="dxa" w:w="2422"/>
          </w:tcPr>
          <w:p>
            <w:pPr>
              <w:spacing w:line="240" w:lineRule="auto" w:before="0" w:after="0"/>
              <w:ind w:firstLine="0"/>
              <w:jc w:val="center"/>
            </w:pPr>
            <w:r>
              <w:rPr>
                <w:rFonts w:ascii="Liberation Serif" w:hAnsi="Liberation Serif"/>
                <w:sz w:val="24"/>
              </w:rPr>
              <w:t>5–6</w:t>
            </w:r>
          </w:p>
        </w:tc>
        <w:tc>
          <w:tcPr>
            <w:tcW w:type="dxa" w:w="2422"/>
          </w:tcPr>
          <w:p>
            <w:pPr>
              <w:spacing w:line="240" w:lineRule="auto" w:before="0" w:after="0"/>
              <w:ind w:firstLine="0"/>
              <w:jc w:val="center"/>
            </w:pPr>
            <w:r>
              <w:rPr>
                <w:rFonts w:ascii="Liberation Serif" w:hAnsi="Liberation Serif"/>
                <w:sz w:val="24"/>
              </w:rPr>
              <w:t>70</w:t>
            </w:r>
          </w:p>
        </w:tc>
        <w:tc>
          <w:tcPr>
            <w:tcW w:type="dxa" w:w="2422"/>
          </w:tcPr>
          <w:p>
            <w:pPr>
              <w:spacing w:line="240" w:lineRule="auto" w:before="0" w:after="0"/>
              <w:ind w:firstLine="0"/>
              <w:jc w:val="center"/>
            </w:pPr>
            <w:r>
              <w:rPr>
                <w:rFonts w:ascii="Liberation Serif" w:hAnsi="Liberation Serif"/>
                <w:sz w:val="24"/>
              </w:rPr>
              <w:t>490</w:t>
            </w:r>
          </w:p>
        </w:tc>
        <w:tc>
          <w:tcPr>
            <w:tcW w:type="dxa" w:w="2422"/>
          </w:tcPr>
          <w:p>
            <w:pPr>
              <w:spacing w:line="240" w:lineRule="auto" w:before="0" w:after="0"/>
              <w:ind w:firstLine="0"/>
              <w:jc w:val="center"/>
            </w:pPr>
            <w:r>
              <w:rPr>
                <w:rFonts w:ascii="Liberation Serif" w:hAnsi="Liberation Serif"/>
                <w:sz w:val="24"/>
              </w:rPr>
              <w:t>1 088 500</w:t>
            </w:r>
          </w:p>
        </w:tc>
      </w:tr>
      <w:tr>
        <w:tc>
          <w:tcPr>
            <w:tcW w:type="dxa" w:w="2422"/>
          </w:tcPr>
          <w:p>
            <w:pPr>
              <w:spacing w:line="240" w:lineRule="auto" w:before="0" w:after="0"/>
              <w:ind w:firstLine="0"/>
              <w:jc w:val="center"/>
            </w:pPr>
            <w:r>
              <w:rPr>
                <w:rFonts w:ascii="Liberation Serif" w:hAnsi="Liberation Serif"/>
                <w:sz w:val="24"/>
              </w:rPr>
              <w:t>7–8</w:t>
            </w:r>
          </w:p>
        </w:tc>
        <w:tc>
          <w:tcPr>
            <w:tcW w:type="dxa" w:w="2422"/>
          </w:tcPr>
          <w:p>
            <w:pPr>
              <w:spacing w:line="240" w:lineRule="auto" w:before="0" w:after="0"/>
              <w:ind w:firstLine="0"/>
              <w:jc w:val="center"/>
            </w:pPr>
            <w:r>
              <w:rPr>
                <w:rFonts w:ascii="Liberation Serif" w:hAnsi="Liberation Serif"/>
                <w:sz w:val="24"/>
              </w:rPr>
              <w:t>80</w:t>
            </w:r>
          </w:p>
        </w:tc>
        <w:tc>
          <w:tcPr>
            <w:tcW w:type="dxa" w:w="2422"/>
          </w:tcPr>
          <w:p>
            <w:pPr>
              <w:spacing w:line="240" w:lineRule="auto" w:before="0" w:after="0"/>
              <w:ind w:firstLine="0"/>
              <w:jc w:val="center"/>
            </w:pPr>
            <w:r>
              <w:rPr>
                <w:rFonts w:ascii="Liberation Serif" w:hAnsi="Liberation Serif"/>
                <w:sz w:val="24"/>
              </w:rPr>
              <w:t>560</w:t>
            </w:r>
          </w:p>
        </w:tc>
        <w:tc>
          <w:tcPr>
            <w:tcW w:type="dxa" w:w="2422"/>
          </w:tcPr>
          <w:p>
            <w:pPr>
              <w:spacing w:line="240" w:lineRule="auto" w:before="0" w:after="0"/>
              <w:ind w:firstLine="0"/>
              <w:jc w:val="center"/>
            </w:pPr>
            <w:r>
              <w:rPr>
                <w:rFonts w:ascii="Liberation Serif" w:hAnsi="Liberation Serif"/>
                <w:sz w:val="24"/>
              </w:rPr>
              <w:t>1 244 000</w:t>
            </w:r>
          </w:p>
        </w:tc>
      </w:tr>
      <w:tr>
        <w:tc>
          <w:tcPr>
            <w:tcW w:type="dxa" w:w="2422"/>
          </w:tcPr>
          <w:p>
            <w:pPr>
              <w:spacing w:line="240" w:lineRule="auto" w:before="0" w:after="0"/>
              <w:ind w:firstLine="0"/>
              <w:jc w:val="center"/>
            </w:pPr>
            <w:r>
              <w:rPr>
                <w:rFonts w:ascii="Liberation Serif" w:hAnsi="Liberation Serif"/>
                <w:sz w:val="24"/>
              </w:rPr>
              <w:t>9–10</w:t>
            </w:r>
          </w:p>
        </w:tc>
        <w:tc>
          <w:tcPr>
            <w:tcW w:type="dxa" w:w="2422"/>
          </w:tcPr>
          <w:p>
            <w:pPr>
              <w:spacing w:line="240" w:lineRule="auto" w:before="0" w:after="0"/>
              <w:ind w:firstLine="0"/>
              <w:jc w:val="center"/>
            </w:pPr>
            <w:r>
              <w:rPr>
                <w:rFonts w:ascii="Liberation Serif" w:hAnsi="Liberation Serif"/>
                <w:sz w:val="24"/>
              </w:rPr>
              <w:t>90</w:t>
            </w:r>
          </w:p>
        </w:tc>
        <w:tc>
          <w:tcPr>
            <w:tcW w:type="dxa" w:w="2422"/>
          </w:tcPr>
          <w:p>
            <w:pPr>
              <w:spacing w:line="240" w:lineRule="auto" w:before="0" w:after="0"/>
              <w:ind w:firstLine="0"/>
              <w:jc w:val="center"/>
            </w:pPr>
            <w:r>
              <w:rPr>
                <w:rFonts w:ascii="Liberation Serif" w:hAnsi="Liberation Serif"/>
                <w:sz w:val="24"/>
              </w:rPr>
              <w:t>630</w:t>
            </w:r>
          </w:p>
        </w:tc>
        <w:tc>
          <w:tcPr>
            <w:tcW w:type="dxa" w:w="2422"/>
          </w:tcPr>
          <w:p>
            <w:pPr>
              <w:spacing w:line="240" w:lineRule="auto" w:before="0" w:after="0"/>
              <w:ind w:firstLine="0"/>
              <w:jc w:val="center"/>
            </w:pPr>
            <w:r>
              <w:rPr>
                <w:rFonts w:ascii="Liberation Serif" w:hAnsi="Liberation Serif"/>
                <w:sz w:val="24"/>
              </w:rPr>
              <w:t>1 399 500</w:t>
            </w:r>
          </w:p>
        </w:tc>
      </w:tr>
      <w:tr>
        <w:tc>
          <w:tcPr>
            <w:tcW w:type="dxa" w:w="2422"/>
          </w:tcPr>
          <w:p>
            <w:pPr>
              <w:spacing w:line="240" w:lineRule="auto" w:before="0" w:after="0"/>
              <w:ind w:firstLine="0"/>
              <w:jc w:val="center"/>
            </w:pPr>
            <w:r>
              <w:rPr>
                <w:rFonts w:ascii="Liberation Serif" w:hAnsi="Liberation Serif"/>
                <w:sz w:val="24"/>
              </w:rPr>
              <w:t>11–12</w:t>
            </w:r>
          </w:p>
        </w:tc>
        <w:tc>
          <w:tcPr>
            <w:tcW w:type="dxa" w:w="2422"/>
          </w:tcPr>
          <w:p>
            <w:pPr>
              <w:spacing w:line="240" w:lineRule="auto" w:before="0" w:after="0"/>
              <w:ind w:firstLine="0"/>
              <w:jc w:val="center"/>
            </w:pPr>
            <w:r>
              <w:rPr>
                <w:rFonts w:ascii="Liberation Serif" w:hAnsi="Liberation Serif"/>
                <w:sz w:val="24"/>
              </w:rPr>
              <w:t>100</w:t>
            </w:r>
          </w:p>
        </w:tc>
        <w:tc>
          <w:tcPr>
            <w:tcW w:type="dxa" w:w="2422"/>
          </w:tcPr>
          <w:p>
            <w:pPr>
              <w:spacing w:line="240" w:lineRule="auto" w:before="0" w:after="0"/>
              <w:ind w:firstLine="0"/>
              <w:jc w:val="center"/>
            </w:pPr>
            <w:r>
              <w:rPr>
                <w:rFonts w:ascii="Liberation Serif" w:hAnsi="Liberation Serif"/>
                <w:sz w:val="24"/>
              </w:rPr>
              <w:t>700</w:t>
            </w:r>
          </w:p>
        </w:tc>
        <w:tc>
          <w:tcPr>
            <w:tcW w:type="dxa" w:w="2422"/>
          </w:tcPr>
          <w:p>
            <w:pPr>
              <w:spacing w:line="240" w:lineRule="auto" w:before="0" w:after="0"/>
              <w:ind w:firstLine="0"/>
              <w:jc w:val="center"/>
            </w:pPr>
            <w:r>
              <w:rPr>
                <w:rFonts w:ascii="Liberation Serif" w:hAnsi="Liberation Serif"/>
                <w:sz w:val="24"/>
              </w:rPr>
              <w:t>1 555 000</w:t>
            </w:r>
          </w:p>
        </w:tc>
      </w:tr>
    </w:tbl>
    <w:p>
      <w:r>
        <w:t>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pPr>
        <w:pStyle w:val="Heading2"/>
      </w:pPr>
      <w:r>
        <w:t>1.3 Выбор инструмента анализа деятельности предприятия</w:t>
      </w:r>
    </w:p>
    <w:p>
      <w:r>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r>
        <w:t>Универсальные табличные процессоры (Microsoft Excel, LibreOffice Calc, «МойОфис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отдельную задачу аудита модели. В-третьих, в табличных процессорах отсутствуют встроенные средства построения отчёта о движении денежных средств (Cash Flow), отчёта о прибылях и убытках (Profit &amp; Loss)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r>
        <w:t>Аналитическая система Alt-Invest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Microsoft Excel с подключаемыми макросами и шаблонами. Alt-Invest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Alt-Invest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Microsoft Excel, сохраняющей все недостатки табличного подхода (риск случайного изменения формул, отсутствие встроенного визуального интерфейса ввода данных).</w:t>
      </w:r>
    </w:p>
    <w:p>
      <w:r>
        <w:t>Специализированные пакеты инвестиционного проектирования, к которым относится отечественная система Project Expert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Project Expert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r>
        <w:t>Архитектура Project Expert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UNIDO — международно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pPr>
        <w:pStyle w:val="TableCaption"/>
      </w:pPr>
      <w:r>
        <w:t>Таблица 6 – Сравнительный анализ программных инструментов инвестиционного моделирования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Microsoft Excel</w:t>
            </w:r>
          </w:p>
        </w:tc>
        <w:tc>
          <w:tcPr>
            <w:tcW w:type="dxa" w:w="2422"/>
          </w:tcPr>
          <w:p>
            <w:pPr>
              <w:spacing w:line="240" w:lineRule="auto" w:before="0" w:after="0"/>
              <w:ind w:firstLine="0"/>
            </w:pPr>
            <w:r>
              <w:rPr>
                <w:rFonts w:ascii="Liberation Serif" w:hAnsi="Liberation Serif"/>
                <w:sz w:val="24"/>
              </w:rPr>
              <w:t>Alt-Invest</w:t>
            </w:r>
          </w:p>
        </w:tc>
        <w:tc>
          <w:tcPr>
            <w:tcW w:type="dxa" w:w="2422"/>
          </w:tcPr>
          <w:p>
            <w:pPr>
              <w:spacing w:line="240" w:lineRule="auto" w:before="0" w:after="0"/>
              <w:ind w:firstLine="0"/>
            </w:pPr>
            <w:r>
              <w:rPr>
                <w:rFonts w:ascii="Liberation Serif" w:hAnsi="Liberation Serif"/>
                <w:sz w:val="24"/>
              </w:rPr>
              <w:t>Project Expert</w:t>
            </w:r>
          </w:p>
        </w:tc>
      </w:tr>
      <w:tr>
        <w:tc>
          <w:tcPr>
            <w:tcW w:type="dxa" w:w="2422"/>
          </w:tcPr>
          <w:p>
            <w:pPr>
              <w:spacing w:line="240" w:lineRule="auto" w:before="0" w:after="0"/>
              <w:ind w:firstLine="0"/>
            </w:pPr>
            <w:r>
              <w:rPr>
                <w:rFonts w:ascii="Liberation Serif" w:hAnsi="Liberation Serif"/>
                <w:sz w:val="24"/>
              </w:rPr>
              <w:t>Специализация</w:t>
            </w:r>
          </w:p>
        </w:tc>
        <w:tc>
          <w:tcPr>
            <w:tcW w:type="dxa" w:w="2422"/>
          </w:tcPr>
          <w:p>
            <w:pPr>
              <w:spacing w:line="240" w:lineRule="auto" w:before="0" w:after="0"/>
              <w:ind w:firstLine="0"/>
            </w:pPr>
            <w:r>
              <w:rPr>
                <w:rFonts w:ascii="Liberation Serif" w:hAnsi="Liberation Serif"/>
                <w:sz w:val="24"/>
              </w:rPr>
              <w:t>Универсальный инструмент</w:t>
            </w:r>
          </w:p>
        </w:tc>
        <w:tc>
          <w:tcPr>
            <w:tcW w:type="dxa" w:w="2422"/>
          </w:tcPr>
          <w:p>
            <w:pPr>
              <w:spacing w:line="240" w:lineRule="auto" w:before="0" w:after="0"/>
              <w:ind w:firstLine="0"/>
            </w:pPr>
            <w:r>
              <w:rPr>
                <w:rFonts w:ascii="Liberation Serif" w:hAnsi="Liberation Serif"/>
                <w:sz w:val="24"/>
              </w:rPr>
              <w:t>Финансовый анализ</w:t>
            </w:r>
          </w:p>
        </w:tc>
        <w:tc>
          <w:tcPr>
            <w:tcW w:type="dxa" w:w="2422"/>
          </w:tcPr>
          <w:p>
            <w:pPr>
              <w:spacing w:line="240" w:lineRule="auto" w:before="0" w:after="0"/>
              <w:ind w:firstLine="0"/>
            </w:pPr>
            <w:r>
              <w:rPr>
                <w:rFonts w:ascii="Liberation Serif" w:hAnsi="Liberation Serif"/>
                <w:sz w:val="24"/>
              </w:rPr>
              <w:t>Инвестиционное проектирование</w:t>
            </w:r>
          </w:p>
        </w:tc>
      </w:tr>
      <w:tr>
        <w:tc>
          <w:tcPr>
            <w:tcW w:type="dxa" w:w="2422"/>
          </w:tcPr>
          <w:p>
            <w:pPr>
              <w:spacing w:line="240" w:lineRule="auto" w:before="0" w:after="0"/>
              <w:ind w:firstLine="0"/>
            </w:pPr>
            <w:r>
              <w:rPr>
                <w:rFonts w:ascii="Liberation Serif" w:hAnsi="Liberation Serif"/>
                <w:sz w:val="24"/>
              </w:rPr>
              <w:t>Автоматическое построение P&amp;L, Cash Flow, баланса</w:t>
            </w:r>
          </w:p>
        </w:tc>
        <w:tc>
          <w:tcPr>
            <w:tcW w:type="dxa" w:w="2422"/>
          </w:tcPr>
          <w:p>
            <w:pPr>
              <w:spacing w:line="240" w:lineRule="auto" w:before="0" w:after="0"/>
              <w:ind w:firstLine="0"/>
            </w:pPr>
            <w:r>
              <w:rPr>
                <w:rFonts w:ascii="Liberation Serif" w:hAnsi="Liberation Serif"/>
                <w:sz w:val="24"/>
              </w:rPr>
              <w:t>Нет, требует ручной настройки</w:t>
            </w:r>
          </w:p>
        </w:tc>
        <w:tc>
          <w:tcPr>
            <w:tcW w:type="dxa" w:w="2422"/>
          </w:tcPr>
          <w:p>
            <w:pPr>
              <w:spacing w:line="240" w:lineRule="auto" w:before="0" w:after="0"/>
              <w:ind w:firstLine="0"/>
            </w:pPr>
            <w:r>
              <w:rPr>
                <w:rFonts w:ascii="Liberation Serif" w:hAnsi="Liberation Serif"/>
                <w:sz w:val="24"/>
              </w:rPr>
              <w:t>Частично</w:t>
            </w:r>
          </w:p>
        </w:tc>
        <w:tc>
          <w:tcPr>
            <w:tcW w:type="dxa" w:w="2422"/>
          </w:tcPr>
          <w:p>
            <w:pPr>
              <w:spacing w:line="240" w:lineRule="auto" w:before="0" w:after="0"/>
              <w:ind w:firstLine="0"/>
            </w:pPr>
            <w:r>
              <w:rPr>
                <w:rFonts w:ascii="Liberation Serif" w:hAnsi="Liberation Serif"/>
                <w:sz w:val="24"/>
              </w:rPr>
              <w:t>Да, автоматически</w:t>
            </w:r>
          </w:p>
        </w:tc>
      </w:tr>
      <w:tr>
        <w:tc>
          <w:tcPr>
            <w:tcW w:type="dxa" w:w="2422"/>
          </w:tcPr>
          <w:p>
            <w:pPr>
              <w:spacing w:line="240" w:lineRule="auto" w:before="0" w:after="0"/>
              <w:ind w:firstLine="0"/>
            </w:pPr>
            <w:r>
              <w:rPr>
                <w:rFonts w:ascii="Liberation Serif" w:hAnsi="Liberation Serif"/>
                <w:sz w:val="24"/>
              </w:rPr>
              <w:t>Расчёт NPV, IRR, PI, DPP</w:t>
            </w:r>
          </w:p>
        </w:tc>
        <w:tc>
          <w:tcPr>
            <w:tcW w:type="dxa" w:w="2422"/>
          </w:tcPr>
          <w:p>
            <w:pPr>
              <w:spacing w:line="240" w:lineRule="auto" w:before="0" w:after="0"/>
              <w:ind w:firstLine="0"/>
            </w:pPr>
            <w:r>
              <w:rPr>
                <w:rFonts w:ascii="Liberation Serif" w:hAnsi="Liberation Serif"/>
                <w:sz w:val="24"/>
              </w:rPr>
              <w:t>Встроенные функции, требует знания формул</w:t>
            </w:r>
          </w:p>
        </w:tc>
        <w:tc>
          <w:tcPr>
            <w:tcW w:type="dxa" w:w="2422"/>
          </w:tcPr>
          <w:p>
            <w:pPr>
              <w:spacing w:line="240" w:lineRule="auto" w:before="0" w:after="0"/>
              <w:ind w:firstLine="0"/>
            </w:pPr>
            <w:r>
              <w:rPr>
                <w:rFonts w:ascii="Liberation Serif" w:hAnsi="Liberation Serif"/>
                <w:sz w:val="24"/>
              </w:rPr>
              <w:t>Встроенные модули</w:t>
            </w:r>
          </w:p>
        </w:tc>
        <w:tc>
          <w:tcPr>
            <w:tcW w:type="dxa" w:w="2422"/>
          </w:tcPr>
          <w:p>
            <w:pPr>
              <w:spacing w:line="240" w:lineRule="auto" w:before="0" w:after="0"/>
              <w:ind w:firstLine="0"/>
            </w:pPr>
            <w:r>
              <w:rPr>
                <w:rFonts w:ascii="Liberation Serif" w:hAnsi="Liberation Serif"/>
                <w:sz w:val="24"/>
              </w:rPr>
              <w:t>Автоматический расчёт</w:t>
            </w:r>
          </w:p>
        </w:tc>
      </w:tr>
      <w:tr>
        <w:tc>
          <w:tcPr>
            <w:tcW w:type="dxa" w:w="2422"/>
          </w:tcPr>
          <w:p>
            <w:pPr>
              <w:spacing w:line="240" w:lineRule="auto" w:before="0" w:after="0"/>
              <w:ind w:firstLine="0"/>
            </w:pPr>
            <w:r>
              <w:rPr>
                <w:rFonts w:ascii="Liberation Serif" w:hAnsi="Liberation Serif"/>
                <w:sz w:val="24"/>
              </w:rPr>
              <w:t>Сценарный анализ и анализ чувствительности</w:t>
            </w:r>
          </w:p>
        </w:tc>
        <w:tc>
          <w:tcPr>
            <w:tcW w:type="dxa" w:w="2422"/>
          </w:tcPr>
          <w:p>
            <w:pPr>
              <w:spacing w:line="240" w:lineRule="auto" w:before="0" w:after="0"/>
              <w:ind w:firstLine="0"/>
            </w:pPr>
            <w:r>
              <w:rPr>
                <w:rFonts w:ascii="Liberation Serif" w:hAnsi="Liberation Serif"/>
                <w:sz w:val="24"/>
              </w:rPr>
              <w:t>Вручную через копирование листов</w:t>
            </w:r>
          </w:p>
        </w:tc>
        <w:tc>
          <w:tcPr>
            <w:tcW w:type="dxa" w:w="2422"/>
          </w:tcPr>
          <w:p>
            <w:pPr>
              <w:spacing w:line="240" w:lineRule="auto" w:before="0" w:after="0"/>
              <w:ind w:firstLine="0"/>
            </w:pPr>
            <w:r>
              <w:rPr>
                <w:rFonts w:ascii="Liberation Serif" w:hAnsi="Liberation Serif"/>
                <w:sz w:val="24"/>
              </w:rPr>
              <w:t>Ограниченный модуль</w:t>
            </w:r>
          </w:p>
        </w:tc>
        <w:tc>
          <w:tcPr>
            <w:tcW w:type="dxa" w:w="2422"/>
          </w:tcPr>
          <w:p>
            <w:pPr>
              <w:spacing w:line="240" w:lineRule="auto" w:before="0" w:after="0"/>
              <w:ind w:firstLine="0"/>
            </w:pPr>
            <w:r>
              <w:rPr>
                <w:rFonts w:ascii="Liberation Serif" w:hAnsi="Liberation Serif"/>
                <w:sz w:val="24"/>
              </w:rPr>
              <w:t>Встроенный модуль «What-if»</w:t>
            </w:r>
          </w:p>
        </w:tc>
      </w:tr>
      <w:tr>
        <w:tc>
          <w:tcPr>
            <w:tcW w:type="dxa" w:w="2422"/>
          </w:tcPr>
          <w:p>
            <w:pPr>
              <w:spacing w:line="240" w:lineRule="auto" w:before="0" w:after="0"/>
              <w:ind w:firstLine="0"/>
            </w:pPr>
            <w:r>
              <w:rPr>
                <w:rFonts w:ascii="Liberation Serif" w:hAnsi="Liberation Serif"/>
                <w:sz w:val="24"/>
              </w:rPr>
              <w:t>Риск арифметической ошибки</w:t>
            </w:r>
          </w:p>
        </w:tc>
        <w:tc>
          <w:tcPr>
            <w:tcW w:type="dxa" w:w="2422"/>
          </w:tcPr>
          <w:p>
            <w:pPr>
              <w:spacing w:line="240" w:lineRule="auto" w:before="0" w:after="0"/>
              <w:ind w:firstLine="0"/>
            </w:pPr>
            <w:r>
              <w:rPr>
                <w:rFonts w:ascii="Liberation Serif" w:hAnsi="Liberation Serif"/>
                <w:sz w:val="24"/>
              </w:rPr>
              <w:t>Высокий</w:t>
            </w:r>
          </w:p>
        </w:tc>
        <w:tc>
          <w:tcPr>
            <w:tcW w:type="dxa" w:w="2422"/>
          </w:tcPr>
          <w:p>
            <w:pPr>
              <w:spacing w:line="240" w:lineRule="auto" w:before="0" w:after="0"/>
              <w:ind w:firstLine="0"/>
            </w:pPr>
            <w:r>
              <w:rPr>
                <w:rFonts w:ascii="Liberation Serif" w:hAnsi="Liberation Serif"/>
                <w:sz w:val="24"/>
              </w:rPr>
              <w:t>Средний</w:t>
            </w:r>
          </w:p>
        </w:tc>
        <w:tc>
          <w:tcPr>
            <w:tcW w:type="dxa" w:w="2422"/>
          </w:tcPr>
          <w:p>
            <w:pPr>
              <w:spacing w:line="240" w:lineRule="auto" w:before="0" w:after="0"/>
              <w:ind w:firstLine="0"/>
            </w:pPr>
            <w:r>
              <w:rPr>
                <w:rFonts w:ascii="Liberation Serif" w:hAnsi="Liberation Serif"/>
                <w:sz w:val="24"/>
              </w:rPr>
              <w:t>Минимальный</w:t>
            </w:r>
          </w:p>
        </w:tc>
      </w:tr>
      <w:tr>
        <w:tc>
          <w:tcPr>
            <w:tcW w:type="dxa" w:w="2422"/>
          </w:tcPr>
          <w:p>
            <w:pPr>
              <w:spacing w:line="240" w:lineRule="auto" w:before="0" w:after="0"/>
              <w:ind w:firstLine="0"/>
            </w:pPr>
            <w:r>
              <w:rPr>
                <w:rFonts w:ascii="Liberation Serif" w:hAnsi="Liberation Serif"/>
                <w:sz w:val="24"/>
              </w:rPr>
              <w:t>Интерфейс ввода данных</w:t>
            </w:r>
          </w:p>
        </w:tc>
        <w:tc>
          <w:tcPr>
            <w:tcW w:type="dxa" w:w="2422"/>
          </w:tcPr>
          <w:p>
            <w:pPr>
              <w:spacing w:line="240" w:lineRule="auto" w:before="0" w:after="0"/>
              <w:ind w:firstLine="0"/>
            </w:pPr>
            <w:r>
              <w:rPr>
                <w:rFonts w:ascii="Liberation Serif" w:hAnsi="Liberation Serif"/>
                <w:sz w:val="24"/>
              </w:rPr>
              <w:t>Плоская таблица</w:t>
            </w:r>
          </w:p>
        </w:tc>
        <w:tc>
          <w:tcPr>
            <w:tcW w:type="dxa" w:w="2422"/>
          </w:tcPr>
          <w:p>
            <w:pPr>
              <w:spacing w:line="240" w:lineRule="auto" w:before="0" w:after="0"/>
              <w:ind w:firstLine="0"/>
            </w:pPr>
            <w:r>
              <w:rPr>
                <w:rFonts w:ascii="Liberation Serif" w:hAnsi="Liberation Serif"/>
                <w:sz w:val="24"/>
              </w:rPr>
              <w:t>Таблица с макросами</w:t>
            </w:r>
          </w:p>
        </w:tc>
        <w:tc>
          <w:tcPr>
            <w:tcW w:type="dxa" w:w="2422"/>
          </w:tcPr>
          <w:p>
            <w:pPr>
              <w:spacing w:line="240" w:lineRule="auto" w:before="0" w:after="0"/>
              <w:ind w:firstLine="0"/>
            </w:pPr>
            <w:r>
              <w:rPr>
                <w:rFonts w:ascii="Liberation Serif" w:hAnsi="Liberation Serif"/>
                <w:sz w:val="24"/>
              </w:rPr>
              <w:t>Структурированные формы по UNIDO</w:t>
            </w:r>
          </w:p>
        </w:tc>
      </w:tr>
      <w:tr>
        <w:tc>
          <w:tcPr>
            <w:tcW w:type="dxa" w:w="2422"/>
          </w:tcPr>
          <w:p>
            <w:pPr>
              <w:spacing w:line="240" w:lineRule="auto" w:before="0" w:after="0"/>
              <w:ind w:firstLine="0"/>
            </w:pPr>
            <w:r>
              <w:rPr>
                <w:rFonts w:ascii="Liberation Serif" w:hAnsi="Liberation Serif"/>
                <w:sz w:val="24"/>
              </w:rPr>
              <w:t>Применимость для малого предприятия</w:t>
            </w:r>
          </w:p>
        </w:tc>
        <w:tc>
          <w:tcPr>
            <w:tcW w:type="dxa" w:w="2422"/>
          </w:tcPr>
          <w:p>
            <w:pPr>
              <w:spacing w:line="240" w:lineRule="auto" w:before="0" w:after="0"/>
              <w:ind w:firstLine="0"/>
            </w:pPr>
            <w:r>
              <w:rPr>
                <w:rFonts w:ascii="Liberation Serif" w:hAnsi="Liberation Serif"/>
                <w:sz w:val="24"/>
              </w:rPr>
              <w:t>Высокая, но с риском ошибок</w:t>
            </w:r>
          </w:p>
        </w:tc>
        <w:tc>
          <w:tcPr>
            <w:tcW w:type="dxa" w:w="2422"/>
          </w:tcPr>
          <w:p>
            <w:pPr>
              <w:spacing w:line="240" w:lineRule="auto" w:before="0" w:after="0"/>
              <w:ind w:firstLine="0"/>
            </w:pPr>
            <w:r>
              <w:rPr>
                <w:rFonts w:ascii="Liberation Serif" w:hAnsi="Liberation Serif"/>
                <w:sz w:val="24"/>
              </w:rPr>
              <w:t>Избыточный функционал</w:t>
            </w:r>
          </w:p>
        </w:tc>
        <w:tc>
          <w:tcPr>
            <w:tcW w:type="dxa" w:w="2422"/>
          </w:tcPr>
          <w:p>
            <w:pPr>
              <w:spacing w:line="240" w:lineRule="auto" w:before="0" w:after="0"/>
              <w:ind w:firstLine="0"/>
            </w:pPr>
            <w:r>
              <w:rPr>
                <w:rFonts w:ascii="Liberation Serif" w:hAnsi="Liberation Serif"/>
                <w:sz w:val="24"/>
              </w:rPr>
              <w:t>Оптимальная</w:t>
            </w:r>
          </w:p>
        </w:tc>
      </w:tr>
    </w:tbl>
    <w:p>
      <w:r>
        <w:t>Для целей выполнения настоящей выпускной квалификационной работы выбрана старшая редакция Project Expert 6 Holding. В отличие от базовых версий Standard и Professional, версия Holding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субпроектов,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r>
        <w:t>Структура Project Expert 6 Holding включает шесть основных разделов, соответствующих логике разработки бизнес-плана по стандарту UNIDO: «Проект»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r>
        <w:t>Особую аналитическую ценность представляет модуль «Анализ чувствительности» (Sensitivity Analysis, What-if),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p>
      <w:pPr>
        <w:pStyle w:val="Heading1"/>
      </w:pPr>
      <w:r>
        <w:t>2. Постановка задачи</w:t>
      </w:r>
    </w:p>
    <w:p>
      <w:r>
        <w:t>Точная оценка экономической эффективности инвестиционного проекта играет решающую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убыточного предложения. Поэтому крайне важно тщательно и обоснованно планировать движение денежных средств предприятия.</w:t>
      </w:r>
    </w:p>
    <w:p>
      <w:r>
        <w:t>Оценка эффективности инвестиционного проекта при разработке бизнес-плана в условиях современной социально-экономической ситуации основывается на следующих ключевых принципах:</w:t>
      </w:r>
    </w:p>
    <w:p>
      <w:pPr>
        <w:ind w:firstLine="709"/>
      </w:pPr>
      <w:r>
        <w:t>1) построение моделей денежных потоков и возможность их сопоставления;</w:t>
      </w:r>
    </w:p>
    <w:p>
      <w:pPr>
        <w:ind w:firstLine="709"/>
      </w:pPr>
      <w:r>
        <w:t>2) проведение анализа проекта на всех стадиях его жизненного цикла;</w:t>
      </w:r>
    </w:p>
    <w:p>
      <w:pPr>
        <w:ind w:firstLine="709"/>
      </w:pPr>
      <w:r>
        <w:t>3) учёт временных параметров и предстоящих финансовых вложений;</w:t>
      </w:r>
    </w:p>
    <w:p>
      <w:pPr>
        <w:ind w:firstLine="709"/>
      </w:pPr>
      <w:r>
        <w:t>4) применение многоступенчатой системы оценки и стремление к максимизации положительного результата;</w:t>
      </w:r>
    </w:p>
    <w:p>
      <w:pPr>
        <w:ind w:firstLine="709"/>
      </w:pPr>
      <w:r>
        <w:t>5) анализ ключевых последствий реализации проекта и интересов всех его участников;</w:t>
      </w:r>
    </w:p>
    <w:p>
      <w:pPr>
        <w:ind w:firstLine="709"/>
      </w:pPr>
      <w:r>
        <w:t>6) включение в расчёты факторов инфляции, неопределённости и потенциальных рисков.</w:t>
      </w:r>
    </w:p>
    <w:p>
      <w:r>
        <w:t>Под денежным потоком (Cash Flow)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ежеквартальным или годовым. Прогноз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pPr>
        <w:ind w:firstLine="709"/>
      </w:pPr>
      <w:r>
        <w:t>1. Операционная деятельность — поступления от реализации товаров и оказания услуг, авансы от клиентов. Расходы включают оплату сырья, комплектующих, коммунальных услуг, заработной платы, налогов и сборов.</w:t>
      </w:r>
    </w:p>
    <w:p>
      <w:pPr>
        <w:ind w:firstLine="709"/>
      </w:pPr>
      <w:r>
        <w:t>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и транспортные средства.</w:t>
      </w:r>
    </w:p>
    <w:p>
      <w:pPr>
        <w:ind w:firstLine="709"/>
      </w:pPr>
      <w:r>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r>
        <w:t>Итогом расчёта всех потоков становится чистый денежный поток — 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денег (Time Value of Money): рубль, полученный в будущем, имеет меньшую ценность по сравнению с рублём текущего периода.</w:t>
      </w:r>
    </w:p>
    <w:p>
      <w:r>
        <w:t>Чистая приведённая стоимость (Net Present Value, NPV) является базовым и наиболее академически достоверным показателем эффективности инвестиционного проекта. NPV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 Положительное значение NPV свидетельствует о том, что проект создаёт добавленную стоимость и обеспечивает доходность выше принятой ставки дисконтирования. Для малого предприятия использование NPV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Математически NPV выражается следующей формулой:</w:t>
      </w:r>
    </w:p>
    <w:p>
      <w:r>
        <w:t>NPV = Σ (CFt / (1 + r)^t) − I₀,    (1)</w:t>
      </w:r>
    </w:p>
    <w:p>
      <w:r>
        <w:t>где CFt — чистый денежный поток в период t (разница между притоками от продаж продукции и оттоками на заработную плату, налоги, закупку комплектующих); r — ставка дисконтирования (стоимость капитала, выраженная в долях единицы); T — горизонт планирования (жизненный цикл проекта); t — текущий период времени (шаг расчёта); I₀ — полная сумма стартовых инвестиционных затрат (капитальные вложения в нулевом периоде).</w:t>
      </w:r>
    </w:p>
    <w:p>
      <w:r>
        <w:t>Экономическая интерпретация: если NPV &gt; 0, проект генерирует доходность, превышающую требуемую норму дисконта, и подлежит одобрению. При NPV &lt; 0 проект уничтожает капитал и должен быть отвергнут. При NPV = 0 проект обеспечивает доходность, в точности равную стоимости привлечённого капитала.</w:t>
      </w:r>
    </w:p>
    <w:p>
      <w:r>
        <w:t>Внутренняя норма доходности (Internal Rate of Return, IRR) представляет собой такую пороговую ставку дисконтирования, при которой NPV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банковскому кредиту на закупку оборудования), при которой предприятие ещё способно расплатиться с кредиторами без ухода в убыток. Проект принимается инвестором, если IRR превышает барьерную ставку предприятия (стоимость капитала). Для вычисления IRR решается уравнение:</w:t>
      </w:r>
    </w:p>
    <w:p>
      <w:r>
        <w:t>Σ (CFt / (1 + IRR)^t) − I₀ = 0    (2)</w:t>
      </w:r>
    </w:p>
    <w:p>
      <w:r>
        <w:t>Однако для малых предприятий показатель IRR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 Классический метод IRR имеет математическое ограничение: он предполагает, что весь получаемый доход мгновенно реинвестируется по высокой ставке самого проекта (IRR), что нереалистично для малого бизнеса.</w:t>
      </w:r>
    </w:p>
    <w:p>
      <w:r>
        <w:t>Индекс прибыльности (Profitability Index, PI) используется для оценки относительной отдачи на единицу вложенного капитала. Показатель рассчитывается как отношение суммы дисконтированных притоков к первоначальным инвестициям:</w:t>
      </w:r>
    </w:p>
    <w:p>
      <w:r>
        <w:t>PI = Σ (CFt / (1 + r)^t) / I₀    (3)</w:t>
      </w:r>
    </w:p>
    <w:p>
      <w:r>
        <w:t>Если PI &gt; 1, проект считается экономически целесообразным: каждый вложенный рубль генерирует более одного рубля дисконтированного дохода. Для субъектов малого бизнеса PI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r>
        <w:t>Срок окупаемости проекта может определяться в простом и дисконтированном вариантах. Простой срок окупаемости (Payback Period, PP) показывает момент времени, когда накопленный недисконтированный денежный поток компенсирует первоначальные инвестиции:</w:t>
      </w:r>
    </w:p>
    <w:p>
      <w:r>
        <w:t>PP = I₀ / CFсреднегод    (4)</w:t>
      </w:r>
    </w:p>
    <w:p>
      <w:r>
        <w:t>Дисконтированный срок окупаемости (Discounted Payback Period, DPP) учитывает стоимость денег во времени и потому является более строгим критерием. DPP определяется как минимальное значение t, при котором накопленный дисконтированный денежный поток становится неотрицательным:</w:t>
      </w:r>
    </w:p>
    <w:p>
      <w:r>
        <w:t>DPP = min {t : Σ(k=1..t) CFk/(1+r)^k ≥ I₀}    (5)</w:t>
      </w:r>
    </w:p>
    <w:p>
      <w:r>
        <w:t>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 В условиях нестабильной экономики России 2026 года (ключевая ставка Банка России на уровне 21%) инвесторы требуют минимизации сроков окупаемости (в идеале до 2–3 лет), чтобы нивелировать долгосрочные геополитические и макроэкономические риски.</w:t>
      </w:r>
    </w:p>
    <w:p>
      <w:r>
        <w:t>Наряду с интегральными критериями для малого бизнеса принципиальное значение имеет анализ безубыточности. Точка безубыточности (Break-Even Point, BEP) показывает минимальный объём продаж, при котором выручка покрывает все постоянные и переменные затраты, но прибыль равна нулю:</w:t>
      </w:r>
    </w:p>
    <w:p>
      <w:r>
        <w:t>BEP = FC / (P − VC),    (6)</w:t>
      </w:r>
    </w:p>
    <w:p>
      <w:r>
        <w:t>где FC — постоянные затраты (аренда, заработная плата, амортизация, коммунальные услуги); P — цена реализации единицы продукции; VC — переменные затраты на единицу продукции (материалы, комплектующие, упаковка). Если фактический объём продаж предприятия стабильно превышает данный порог, формируется запас финансовой прочности (Margin of Safety), характеризующий устойчивость бизнес-модели:</w:t>
      </w:r>
    </w:p>
    <w:p>
      <w:r>
        <w:t>MoS = (Выручка факт − Выручка BEP) / Выручка факт × 100%    (7)</w:t>
      </w:r>
    </w:p>
    <w:p>
      <w:r>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проектируемого предприятия, поскольку выход на полную загрузку происходит ступенчато в течение первого года.</w:t>
      </w:r>
    </w:p>
    <w:p>
      <w:r>
        <w:t>Ставка дисконтирования (r) является важнейшей переменной, определяющей результаты оценки эффективности проекта. Для малого предприятия без привлечения заёмного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неликвидности малого бизнеса. В условиях 2026 года при ключевой ставке 21% годовых и дополнительной премии за размер бизнеса (3–5%), ставка дисконтирования для проектов малого предпринимательства может достигать 24–26%. Однако при использовании программ льготного финансирования (лизинг под 6–8%, гранты) средневзвешенная стоимость капитала существенно снижается, что повышает расчётную привлекательность проекта.</w:t>
      </w:r>
    </w:p>
    <w:p>
      <w:r>
        <w:t>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NPV и IRR проекта. Для малого предприятия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устойчивости к изменению ключевых предпосылок.</w:t>
      </w:r>
    </w:p>
    <w:p>
      <w:r>
        <w:t>Проект считается эффективным, если он одновременно соответствует следующим критериям:</w:t>
      </w:r>
    </w:p>
    <w:p>
      <w:pPr>
        <w:ind w:firstLine="709"/>
      </w:pPr>
      <w:r>
        <w:t>– NPV &gt; 0 (проект создаёт добавленную стоимость);</w:t>
      </w:r>
    </w:p>
    <w:p>
      <w:pPr>
        <w:ind w:firstLine="709"/>
      </w:pPr>
      <w:r>
        <w:t>– IRR &gt; r (внутренняя доходность превышает стоимость капитала);</w:t>
      </w:r>
    </w:p>
    <w:p>
      <w:pPr>
        <w:ind w:firstLine="709"/>
      </w:pPr>
      <w:r>
        <w:t>– PI &gt; 1 (каждый вложенный рубль приносит более одного рубля дисконтированного дохода);</w:t>
      </w:r>
    </w:p>
    <w:p>
      <w:pPr>
        <w:ind w:firstLine="709"/>
      </w:pPr>
      <w:r>
        <w:t>– DPP &lt; горизонт планирования (проект окупается в рамках расчётного периода);</w:t>
      </w:r>
    </w:p>
    <w:p>
      <w:pPr>
        <w:ind w:firstLine="709"/>
      </w:pPr>
      <w:r>
        <w:t>– фактическая выручка &gt; точки безубыточности (формируется запас финансовой прочности).</w:t>
      </w:r>
    </w:p>
    <w:p>
      <w:r>
        <w:t>В рамках данной выпускной квалификационной работы проведён анализ инвестиционного проекта с применением программного продукта Project Expert 6 Holding. Оценка проводилась по основным критериям эффективности, описанным выше. По результатам анализа даны рекомендации,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pPr>
        <w:pStyle w:val="Heading1"/>
      </w:pPr>
      <w:r>
        <w:t>3. Проектная часть</w:t>
      </w:r>
    </w:p>
    <w:p>
      <w:r>
        <w:t>Сформулировав концепцию инвестиционного проекта, обосновав его экономическую целесообразность и определив ключевые критерии для 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производственного предприятия ООО «СигналПром» по выпуску комбинированных дымо-тепловых пожарных извещателей в городе Рязани.</w:t>
      </w:r>
    </w:p>
    <w:p>
      <w:pPr>
        <w:pStyle w:val="Heading2"/>
      </w:pPr>
      <w:r>
        <w:t>3.1 Исходные данные</w:t>
      </w:r>
    </w:p>
    <w:p>
      <w:pPr>
        <w:pStyle w:val="Heading3"/>
      </w:pPr>
      <w:r>
        <w:t>3.1.1 Характеристика предприятия</w:t>
      </w:r>
    </w:p>
    <w:p>
      <w:r>
        <w:t>ООО «СигналПром» — малое производственное предприятие, специализирующееся на сборке, программировании, метрологическом тестировании и сертификации комбинированных дымо-тепловых пожарных извещателей. Предприятие применяет модель гибридной автоматизации: капиталоёмкие операции поверхностного SMT-монтажа печатных плат и литья пластиковых корпусов передаются на контрактное производство, а на 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r>
        <w:t>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материальных затрат в структуре расходов предприятия (закупка печатных плат, электронных компонентов, корпусов), что делает доходно-расходную схему существенно выгоднее схемы «доходы 6%».</w:t>
      </w:r>
    </w:p>
    <w:p>
      <w:r>
        <w:t>Организационная структура предприятия является линейной и минимально-иерархичной, что соответствует формату микропредприятия. Штатное расписание включает пять должностей:</w:t>
      </w:r>
    </w:p>
    <w:p>
      <w:pPr>
        <w:ind w:firstLine="709"/>
      </w:pPr>
      <w:r>
        <w:t>– Директор (стратегическое управление, финансовое планирование, сбыт и работа с клиентами) — 70 000 руб./мес.;</w:t>
      </w:r>
    </w:p>
    <w:p>
      <w:pPr>
        <w:ind w:firstLine="709"/>
      </w:pPr>
      <w:r>
        <w:t>– Главный инженер (техническое руководство, разработка микрокода, настройка стендов, взаимодействие с контрактными производителями) — 100 000 руб./мес.;</w:t>
      </w:r>
    </w:p>
    <w:p>
      <w:pPr>
        <w:ind w:firstLine="709"/>
      </w:pPr>
      <w:r>
        <w:t>– Техник ОТК (управление автоматизированным стендом «СИ-ТДК», проведение приёмо-сдаточных испытаний, ведение протоколов MES) — 60 000 руб./мес.;</w:t>
      </w:r>
    </w:p>
    <w:p>
      <w:pPr>
        <w:ind w:firstLine="709"/>
      </w:pPr>
      <w:r>
        <w:t>– Сборщик РЭА №1 (ручная пайка выводных компонентов, механическая сборка корпуса, прошивка МК) — 70 000 руб./мес.;</w:t>
      </w:r>
    </w:p>
    <w:p>
      <w:pPr>
        <w:ind w:firstLine="709"/>
      </w:pPr>
      <w:r>
        <w:t>– Сборщик РЭА №2 (аналогичные функции) — 70 000 руб./мес.</w:t>
      </w:r>
    </w:p>
    <w:p>
      <w:r>
        <w:t>Совокупный фонд оплаты труда составляет 370 000 рублей в месяц («на руки»). С учётом страховых взносов по ставке 30% (в соответствии с налоговой реформой 2026 года) полная стоимость персонала для предприятия составляет 481 000 рублей в месяц. Бухгалтерское обслуживание передаётся на аутсорсинг специализированной организации (ориентировочно 15 000–20 000 рублей в месяц).</w:t>
      </w:r>
    </w:p>
    <w:p>
      <w:pPr>
        <w:pStyle w:val="Heading3"/>
      </w:pPr>
      <w:r>
        <w:t>3.1.2 Месторасположение предприятия</w:t>
      </w:r>
    </w:p>
    <w:p>
      <w:r>
        <w:t>Для размещения производства выбрано капитальное нежилое помещение по адресу: г. Рязань, ул. Радиозаводская, д. 2 (Советский район). Данная локация расположена в исторически сложившейся промышленной зоне города, вблизи крупных предприятий радиоэлектронной отрасли, что обеспечивает удобную транспортную логистику и доступ к квалифицированным кадрам.</w:t>
      </w:r>
    </w:p>
    <w:p>
      <w:r>
        <w:t>Арендуемое помещение имеет общую площадь 142,5 квадратных метра и относится к формату Light Industrial — производственный цех с высокими потолками, капитальными стенами, центральным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водоснабжение, вывоз ТБО) и корпоративный интернет составляют 22 000 рублей в месяц.</w:t>
      </w:r>
    </w:p>
    <w:p>
      <w:r>
        <w:t>Увеличенная площадь (142,5 м² вместо первоначально запланированных 142,5 м²) позволяет организовать комфортное технологическое зонирование с учётом требований ESD-защиты (ГОСТ IEC 61340-5-1-2019) и санитарных норм (СанПиН 2.2.4.3359-16). На площади предприятия организованы следующие функциональные зоны:</w:t>
      </w:r>
    </w:p>
    <w:p>
      <w:pPr>
        <w:ind w:firstLine="709"/>
      </w:pPr>
      <w:r>
        <w:t>– Склад комплектующих и зона входного контроля (ВТК) — 20 м². Контролируемая температура и влажность, стеллажное хранение, визуальный осмотр партий от «Электроконнект» и поставщиков ЭКБ.</w:t>
      </w:r>
    </w:p>
    <w:p>
      <w:pPr>
        <w:ind w:firstLine="709"/>
      </w:pPr>
      <w:r>
        <w:t>– Зона ручного монтажа и сборки — 40 м². Три антистатических рабочих места, оснащённых индукционными паяльными станциями Quick 203H ESD, дымоуловителями DUET FE-250-2-А и бестеневыми лампами-лупами.</w:t>
      </w:r>
    </w:p>
    <w:p>
      <w:pPr>
        <w:ind w:firstLine="709"/>
      </w:pPr>
      <w:r>
        <w:t>– Зона автоматизированного тестирования (ОТК) — 40 м². Комбинированный стенд «СИ-ТДК» для функциональных испытаний дымового и теплового каналов. Климатическая камера «Тепло-Влага ПРО КТВ 0/130-120 silent» для квалификационных испытаний.</w:t>
      </w:r>
    </w:p>
    <w:p>
      <w:pPr>
        <w:ind w:firstLine="709"/>
      </w:pPr>
      <w:r>
        <w:t>– Зона маркировки, упаковки и склад готовой продукции — 25 м². Термотрансферный принтер Godex RT230 для нанесения серийных номеров и DataMatrix-кодов.</w:t>
      </w:r>
    </w:p>
    <w:p>
      <w:pPr>
        <w:ind w:firstLine="709"/>
      </w:pPr>
      <w:r>
        <w:t>– Административно-бытовая зона — 17,5 м². Рабочее место директора, раздевалка, санузел.</w:t>
      </w:r>
    </w:p>
    <w:p>
      <w:pPr>
        <w:pStyle w:val="Heading3"/>
      </w:pPr>
      <w:r>
        <w:t>3.1.3 Приборы и оборудование</w:t>
      </w:r>
    </w:p>
    <w:p>
      <w:r>
        <w:t>Бюджет капитальных вложений (CAPEX) предприятия структурирован по функциональным группам оборудования. Сводная смета представлена в таблице 7.</w:t>
      </w:r>
    </w:p>
    <w:p>
      <w:pPr>
        <w:pStyle w:val="TableCaption"/>
      </w:pPr>
      <w:r>
        <w:t>Таблица 7 – Бюджет капитальных вложений (CAPEX) предприятия ООО «СигналПром»</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40" w:after="40"/>
              <w:ind w:firstLine="0"/>
            </w:pPr>
            <w:r>
              <w:rPr>
                <w:rFonts w:ascii="Liberation Serif" w:hAnsi="Liberation Serif"/>
                <w:b/>
                <w:sz w:val="24"/>
              </w:rPr>
              <w:t>№</w:t>
            </w:r>
          </w:p>
        </w:tc>
        <w:tc>
          <w:tcPr>
            <w:tcW w:type="dxa" w:w="1938"/>
          </w:tcPr>
          <w:p>
            <w:pPr>
              <w:spacing w:line="240" w:lineRule="auto" w:before="40" w:after="40"/>
              <w:ind w:firstLine="0"/>
            </w:pPr>
            <w:r>
              <w:rPr>
                <w:rFonts w:ascii="Liberation Serif" w:hAnsi="Liberation Serif"/>
                <w:b/>
                <w:sz w:val="24"/>
              </w:rPr>
              <w:t>Наименование</w:t>
            </w:r>
          </w:p>
        </w:tc>
        <w:tc>
          <w:tcPr>
            <w:tcW w:type="dxa" w:w="1938"/>
          </w:tcPr>
          <w:p>
            <w:pPr>
              <w:spacing w:line="240" w:lineRule="auto" w:before="40" w:after="40"/>
              <w:ind w:firstLine="0"/>
            </w:pPr>
            <w:r>
              <w:rPr>
                <w:rFonts w:ascii="Liberation Serif" w:hAnsi="Liberation Serif"/>
                <w:b/>
                <w:sz w:val="24"/>
              </w:rPr>
              <w:t>Кол-во</w:t>
            </w:r>
          </w:p>
        </w:tc>
        <w:tc>
          <w:tcPr>
            <w:tcW w:type="dxa" w:w="1938"/>
          </w:tcPr>
          <w:p>
            <w:pPr>
              <w:spacing w:line="240" w:lineRule="auto" w:before="40" w:after="40"/>
              <w:ind w:firstLine="0"/>
            </w:pPr>
            <w:r>
              <w:rPr>
                <w:rFonts w:ascii="Liberation Serif" w:hAnsi="Liberation Serif"/>
                <w:b/>
                <w:sz w:val="24"/>
              </w:rPr>
              <w:t>Цена за ед., руб.</w:t>
            </w:r>
          </w:p>
        </w:tc>
        <w:tc>
          <w:tcPr>
            <w:tcW w:type="dxa" w:w="1938"/>
          </w:tcPr>
          <w:p>
            <w:pPr>
              <w:spacing w:line="240" w:lineRule="auto" w:before="40" w:after="40"/>
              <w:ind w:firstLine="0"/>
            </w:pPr>
            <w:r>
              <w:rPr>
                <w:rFonts w:ascii="Liberation Serif" w:hAnsi="Liberation Serif"/>
                <w:b/>
                <w:sz w:val="24"/>
              </w:rPr>
              <w:t>Сумма, руб.</w:t>
            </w:r>
          </w:p>
        </w:tc>
      </w:tr>
      <w:tr>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Стенд комбинированный «СИ-ТДК» (функциональные испытания дымовых и тепловых извещателей)</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2 407 500</w:t>
            </w:r>
          </w:p>
        </w:tc>
        <w:tc>
          <w:tcPr>
            <w:tcW w:type="dxa" w:w="1938"/>
          </w:tcPr>
          <w:p>
            <w:pPr>
              <w:spacing w:line="240" w:lineRule="auto" w:before="40" w:after="40"/>
              <w:ind w:firstLine="0"/>
            </w:pPr>
            <w:r>
              <w:rPr>
                <w:rFonts w:ascii="Liberation Serif" w:hAnsi="Liberation Serif"/>
                <w:sz w:val="24"/>
              </w:rPr>
              <w:t>2 407 500</w:t>
            </w:r>
          </w:p>
        </w:tc>
      </w:tr>
      <w:tr>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Климатическая камера «Тепло-Влага ПРО КТВ 0/130-120 silent» (квалификационные испытания)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505 575</w:t>
            </w:r>
          </w:p>
        </w:tc>
        <w:tc>
          <w:tcPr>
            <w:tcW w:type="dxa" w:w="1938"/>
          </w:tcPr>
          <w:p>
            <w:pPr>
              <w:spacing w:line="240" w:lineRule="auto" w:before="40" w:after="40"/>
              <w:ind w:firstLine="0"/>
            </w:pPr>
            <w:r>
              <w:rPr>
                <w:rFonts w:ascii="Liberation Serif" w:hAnsi="Liberation Serif"/>
                <w:sz w:val="24"/>
              </w:rPr>
              <w:t>505 575</w:t>
            </w:r>
          </w:p>
        </w:tc>
      </w:tr>
      <w:tr>
        <w:tc>
          <w:tcPr>
            <w:tcW w:type="dxa" w:w="1938"/>
          </w:tcPr>
          <w:p>
            <w:pPr>
              <w:spacing w:line="240" w:lineRule="auto" w:before="40" w:after="40"/>
              <w:ind w:firstLine="0"/>
            </w:pPr>
            <w:r>
              <w:rPr>
                <w:rFonts w:ascii="Liberation Serif" w:hAnsi="Liberation Serif"/>
                <w:sz w:val="24"/>
              </w:rPr>
              <w:t>3</w:t>
            </w:r>
          </w:p>
        </w:tc>
        <w:tc>
          <w:tcPr>
            <w:tcW w:type="dxa" w:w="1938"/>
          </w:tcPr>
          <w:p>
            <w:pPr>
              <w:spacing w:line="240" w:lineRule="auto" w:before="40" w:after="40"/>
              <w:ind w:firstLine="0"/>
            </w:pPr>
            <w:r>
              <w:rPr>
                <w:rFonts w:ascii="Liberation Serif" w:hAnsi="Liberation Serif"/>
                <w:sz w:val="24"/>
              </w:rPr>
              <w:t>Паяльная станция индукционная Quick 203H ESD Lead Free (90 Вт)</w:t>
            </w:r>
          </w:p>
        </w:tc>
        <w:tc>
          <w:tcPr>
            <w:tcW w:type="dxa" w:w="1938"/>
          </w:tcPr>
          <w:p>
            <w:pPr>
              <w:spacing w:line="240" w:lineRule="auto" w:before="40" w:after="40"/>
              <w:ind w:firstLine="0"/>
            </w:pPr>
            <w:r>
              <w:rPr>
                <w:rFonts w:ascii="Liberation Serif" w:hAnsi="Liberation Serif"/>
                <w:sz w:val="24"/>
              </w:rPr>
              <w:t>3</w:t>
            </w:r>
          </w:p>
        </w:tc>
        <w:tc>
          <w:tcPr>
            <w:tcW w:type="dxa" w:w="1938"/>
          </w:tcPr>
          <w:p>
            <w:pPr>
              <w:spacing w:line="240" w:lineRule="auto" w:before="40" w:after="40"/>
              <w:ind w:firstLine="0"/>
            </w:pPr>
            <w:r>
              <w:rPr>
                <w:rFonts w:ascii="Liberation Serif" w:hAnsi="Liberation Serif"/>
                <w:sz w:val="24"/>
              </w:rPr>
              <w:t>17 200</w:t>
            </w:r>
          </w:p>
        </w:tc>
        <w:tc>
          <w:tcPr>
            <w:tcW w:type="dxa" w:w="1938"/>
          </w:tcPr>
          <w:p>
            <w:pPr>
              <w:spacing w:line="240" w:lineRule="auto" w:before="40" w:after="40"/>
              <w:ind w:firstLine="0"/>
            </w:pPr>
            <w:r>
              <w:rPr>
                <w:rFonts w:ascii="Liberation Serif" w:hAnsi="Liberation Serif"/>
                <w:sz w:val="24"/>
              </w:rPr>
              <w:t>51 600</w:t>
            </w:r>
          </w:p>
        </w:tc>
      </w:tr>
      <w:tr>
        <w:tc>
          <w:tcPr>
            <w:tcW w:type="dxa" w:w="1938"/>
          </w:tcPr>
          <w:p>
            <w:pPr>
              <w:spacing w:line="240" w:lineRule="auto" w:before="40" w:after="40"/>
              <w:ind w:firstLine="0"/>
            </w:pPr>
            <w:r>
              <w:rPr>
                <w:rFonts w:ascii="Liberation Serif" w:hAnsi="Liberation Serif"/>
                <w:sz w:val="24"/>
              </w:rPr>
              <w:t>4</w:t>
            </w:r>
          </w:p>
        </w:tc>
        <w:tc>
          <w:tcPr>
            <w:tcW w:type="dxa" w:w="1938"/>
          </w:tcPr>
          <w:p>
            <w:pPr>
              <w:spacing w:line="240" w:lineRule="auto" w:before="40" w:after="40"/>
              <w:ind w:firstLine="0"/>
            </w:pPr>
            <w:r>
              <w:rPr>
                <w:rFonts w:ascii="Liberation Serif" w:hAnsi="Liberation Serif"/>
                <w:sz w:val="24"/>
              </w:rPr>
              <w:t>Дымоуловитель DUET FE-250-2-А (блок на 1-2 рабочих места)</w:t>
            </w:r>
          </w:p>
        </w:tc>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52 500</w:t>
            </w:r>
          </w:p>
        </w:tc>
        <w:tc>
          <w:tcPr>
            <w:tcW w:type="dxa" w:w="1938"/>
          </w:tcPr>
          <w:p>
            <w:pPr>
              <w:spacing w:line="240" w:lineRule="auto" w:before="40" w:after="40"/>
              <w:ind w:firstLine="0"/>
            </w:pPr>
            <w:r>
              <w:rPr>
                <w:rFonts w:ascii="Liberation Serif" w:hAnsi="Liberation Serif"/>
                <w:sz w:val="24"/>
              </w:rPr>
              <w:t>105 000</w:t>
            </w:r>
          </w:p>
        </w:tc>
      </w:tr>
      <w:tr>
        <w:tc>
          <w:tcPr>
            <w:tcW w:type="dxa" w:w="1938"/>
          </w:tcPr>
          <w:p>
            <w:pPr>
              <w:spacing w:line="240" w:lineRule="auto" w:before="40" w:after="40"/>
              <w:ind w:firstLine="0"/>
            </w:pPr>
            <w:r>
              <w:rPr>
                <w:rFonts w:ascii="Liberation Serif" w:hAnsi="Liberation Serif"/>
                <w:sz w:val="24"/>
              </w:rPr>
              <w:t>5</w:t>
            </w:r>
          </w:p>
        </w:tc>
        <w:tc>
          <w:tcPr>
            <w:tcW w:type="dxa" w:w="1938"/>
          </w:tcPr>
          <w:p>
            <w:pPr>
              <w:spacing w:line="240" w:lineRule="auto" w:before="40" w:after="40"/>
              <w:ind w:firstLine="0"/>
            </w:pPr>
            <w:r>
              <w:rPr>
                <w:rFonts w:ascii="Liberation Serif" w:hAnsi="Liberation Serif"/>
                <w:sz w:val="24"/>
              </w:rPr>
              <w:t>Принтер этикеток термотрансферный Godex RT230 (300 dpi, Ethernet)</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25 198</w:t>
            </w:r>
          </w:p>
        </w:tc>
        <w:tc>
          <w:tcPr>
            <w:tcW w:type="dxa" w:w="1938"/>
          </w:tcPr>
          <w:p>
            <w:pPr>
              <w:spacing w:line="240" w:lineRule="auto" w:before="40" w:after="40"/>
              <w:ind w:firstLine="0"/>
            </w:pPr>
            <w:r>
              <w:rPr>
                <w:rFonts w:ascii="Liberation Serif" w:hAnsi="Liberation Serif"/>
                <w:sz w:val="24"/>
              </w:rPr>
              <w:t>25 198</w:t>
            </w:r>
          </w:p>
        </w:tc>
      </w:tr>
      <w:tr>
        <w:tc>
          <w:tcPr>
            <w:tcW w:type="dxa" w:w="1938"/>
          </w:tcPr>
          <w:p>
            <w:pPr>
              <w:spacing w:line="240" w:lineRule="auto" w:before="40" w:after="40"/>
              <w:ind w:firstLine="0"/>
            </w:pPr>
            <w:r>
              <w:rPr>
                <w:rFonts w:ascii="Liberation Serif" w:hAnsi="Liberation Serif"/>
                <w:sz w:val="24"/>
              </w:rPr>
              <w:t>6</w:t>
            </w:r>
          </w:p>
        </w:tc>
        <w:tc>
          <w:tcPr>
            <w:tcW w:type="dxa" w:w="1938"/>
          </w:tcPr>
          <w:p>
            <w:pPr>
              <w:spacing w:line="240" w:lineRule="auto" w:before="40" w:after="40"/>
              <w:ind w:firstLine="0"/>
            </w:pPr>
            <w:r>
              <w:rPr>
                <w:rFonts w:ascii="Liberation Serif" w:hAnsi="Liberation Serif"/>
                <w:sz w:val="24"/>
              </w:rPr>
              <w:t>Пресс-форма для литья пластикового корпуса извещателя (ABS)</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500 000</w:t>
            </w:r>
          </w:p>
        </w:tc>
        <w:tc>
          <w:tcPr>
            <w:tcW w:type="dxa" w:w="1938"/>
          </w:tcPr>
          <w:p>
            <w:pPr>
              <w:spacing w:line="240" w:lineRule="auto" w:before="40" w:after="40"/>
              <w:ind w:firstLine="0"/>
            </w:pPr>
            <w:r>
              <w:rPr>
                <w:rFonts w:ascii="Liberation Serif" w:hAnsi="Liberation Serif"/>
                <w:sz w:val="24"/>
              </w:rPr>
              <w:t>500 000</w:t>
            </w:r>
          </w:p>
        </w:tc>
      </w:tr>
      <w:tr>
        <w:tc>
          <w:tcPr>
            <w:tcW w:type="dxa" w:w="1938"/>
          </w:tcPr>
          <w:p>
            <w:pPr>
              <w:spacing w:line="240" w:lineRule="auto" w:before="40" w:after="40"/>
              <w:ind w:firstLine="0"/>
            </w:pPr>
            <w:r>
              <w:rPr>
                <w:rFonts w:ascii="Liberation Serif" w:hAnsi="Liberation Serif"/>
                <w:sz w:val="24"/>
              </w:rPr>
              <w:t>7</w:t>
            </w:r>
          </w:p>
        </w:tc>
        <w:tc>
          <w:tcPr>
            <w:tcW w:type="dxa" w:w="1938"/>
          </w:tcPr>
          <w:p>
            <w:pPr>
              <w:spacing w:line="240" w:lineRule="auto" w:before="40" w:after="40"/>
              <w:ind w:firstLine="0"/>
            </w:pPr>
            <w:r>
              <w:rPr>
                <w:rFonts w:ascii="Liberation Serif" w:hAnsi="Liberation Serif"/>
                <w:sz w:val="24"/>
              </w:rPr>
              <w:t>Ремонт помещения, монтаж ESD-полов, контур заземления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450 000</w:t>
            </w:r>
          </w:p>
        </w:tc>
        <w:tc>
          <w:tcPr>
            <w:tcW w:type="dxa" w:w="1938"/>
          </w:tcPr>
          <w:p>
            <w:pPr>
              <w:spacing w:line="240" w:lineRule="auto" w:before="40" w:after="40"/>
              <w:ind w:firstLine="0"/>
            </w:pPr>
            <w:r>
              <w:rPr>
                <w:rFonts w:ascii="Liberation Serif" w:hAnsi="Liberation Serif"/>
                <w:sz w:val="24"/>
              </w:rPr>
              <w:t>450 000</w:t>
            </w:r>
          </w:p>
        </w:tc>
      </w:tr>
      <w:tr>
        <w:tc>
          <w:tcPr>
            <w:tcW w:type="dxa" w:w="1938"/>
          </w:tcPr>
          <w:p>
            <w:pPr>
              <w:spacing w:line="240" w:lineRule="auto" w:before="40" w:after="40"/>
              <w:ind w:firstLine="0"/>
            </w:pPr>
            <w:r>
              <w:rPr>
                <w:rFonts w:ascii="Liberation Serif" w:hAnsi="Liberation Serif"/>
                <w:sz w:val="24"/>
              </w:rPr>
              <w:t>8</w:t>
            </w:r>
          </w:p>
        </w:tc>
        <w:tc>
          <w:tcPr>
            <w:tcW w:type="dxa" w:w="1938"/>
          </w:tcPr>
          <w:p>
            <w:pPr>
              <w:spacing w:line="240" w:lineRule="auto" w:before="40" w:after="40"/>
              <w:ind w:firstLine="0"/>
            </w:pPr>
            <w:r>
              <w:rPr>
                <w:rFonts w:ascii="Liberation Serif" w:hAnsi="Liberation Serif"/>
                <w:sz w:val="24"/>
              </w:rPr>
              <w:t>Антистатическая мебель (столы, стулья, стеллажи, кассетницы)</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250 000</w:t>
            </w:r>
          </w:p>
        </w:tc>
        <w:tc>
          <w:tcPr>
            <w:tcW w:type="dxa" w:w="1938"/>
          </w:tcPr>
          <w:p>
            <w:pPr>
              <w:spacing w:line="240" w:lineRule="auto" w:before="40" w:after="40"/>
              <w:ind w:firstLine="0"/>
            </w:pPr>
            <w:r>
              <w:rPr>
                <w:rFonts w:ascii="Liberation Serif" w:hAnsi="Liberation Serif"/>
                <w:sz w:val="24"/>
              </w:rPr>
              <w:t>250 000</w:t>
            </w:r>
          </w:p>
        </w:tc>
      </w:tr>
      <w:tr>
        <w:tc>
          <w:tcPr>
            <w:tcW w:type="dxa" w:w="1938"/>
          </w:tcPr>
          <w:p>
            <w:pPr>
              <w:spacing w:line="240" w:lineRule="auto" w:before="40" w:after="40"/>
              <w:ind w:firstLine="0"/>
            </w:pPr>
            <w:r>
              <w:rPr>
                <w:rFonts w:ascii="Liberation Serif" w:hAnsi="Liberation Serif"/>
                <w:sz w:val="24"/>
              </w:rPr>
              <w:t>9</w:t>
            </w:r>
          </w:p>
        </w:tc>
        <w:tc>
          <w:tcPr>
            <w:tcW w:type="dxa" w:w="1938"/>
          </w:tcPr>
          <w:p>
            <w:pPr>
              <w:spacing w:line="240" w:lineRule="auto" w:before="40" w:after="40"/>
              <w:ind w:firstLine="0"/>
            </w:pPr>
            <w:r>
              <w:rPr>
                <w:rFonts w:ascii="Liberation Serif" w:hAnsi="Liberation Serif"/>
                <w:sz w:val="24"/>
              </w:rPr>
              <w:t>АРМ программатора (ПК + ST-Link V3 + монитор) × 2 шт.</w:t>
            </w:r>
          </w:p>
        </w:tc>
        <w:tc>
          <w:tcPr>
            <w:tcW w:type="dxa" w:w="1938"/>
          </w:tcPr>
          <w:p>
            <w:pPr>
              <w:spacing w:line="240" w:lineRule="auto" w:before="40" w:after="40"/>
              <w:ind w:firstLine="0"/>
            </w:pPr>
            <w:r>
              <w:rPr>
                <w:rFonts w:ascii="Liberation Serif" w:hAnsi="Liberation Serif"/>
                <w:sz w:val="24"/>
              </w:rPr>
              <w:t>2</w:t>
            </w:r>
          </w:p>
        </w:tc>
        <w:tc>
          <w:tcPr>
            <w:tcW w:type="dxa" w:w="1938"/>
          </w:tcPr>
          <w:p>
            <w:pPr>
              <w:spacing w:line="240" w:lineRule="auto" w:before="40" w:after="40"/>
              <w:ind w:firstLine="0"/>
            </w:pPr>
            <w:r>
              <w:rPr>
                <w:rFonts w:ascii="Liberation Serif" w:hAnsi="Liberation Serif"/>
                <w:sz w:val="24"/>
              </w:rPr>
              <w:t>85 000</w:t>
            </w:r>
          </w:p>
        </w:tc>
        <w:tc>
          <w:tcPr>
            <w:tcW w:type="dxa" w:w="1938"/>
          </w:tcPr>
          <w:p>
            <w:pPr>
              <w:spacing w:line="240" w:lineRule="auto" w:before="40" w:after="40"/>
              <w:ind w:firstLine="0"/>
            </w:pPr>
            <w:r>
              <w:rPr>
                <w:rFonts w:ascii="Liberation Serif" w:hAnsi="Liberation Serif"/>
                <w:sz w:val="24"/>
              </w:rPr>
              <w:t>170 000</w:t>
            </w:r>
          </w:p>
        </w:tc>
      </w:tr>
      <w:tr>
        <w:tc>
          <w:tcPr>
            <w:tcW w:type="dxa" w:w="1938"/>
          </w:tcPr>
          <w:p>
            <w:pPr>
              <w:spacing w:line="240" w:lineRule="auto" w:before="40" w:after="40"/>
              <w:ind w:firstLine="0"/>
            </w:pPr>
            <w:r>
              <w:rPr>
                <w:rFonts w:ascii="Liberation Serif" w:hAnsi="Liberation Serif"/>
                <w:sz w:val="24"/>
              </w:rPr>
              <w:t>10</w:t>
            </w:r>
          </w:p>
        </w:tc>
        <w:tc>
          <w:tcPr>
            <w:tcW w:type="dxa" w:w="1938"/>
          </w:tcPr>
          <w:p>
            <w:pPr>
              <w:spacing w:line="240" w:lineRule="auto" w:before="40" w:after="40"/>
              <w:ind w:firstLine="0"/>
            </w:pPr>
            <w:r>
              <w:rPr>
                <w:rFonts w:ascii="Liberation Serif" w:hAnsi="Liberation Serif"/>
                <w:sz w:val="24"/>
              </w:rPr>
              <w:t>Сертификация продукции по ТР ЕАЭС 043/2017 (лабораторные испытания)</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150 000</w:t>
            </w:r>
          </w:p>
        </w:tc>
        <w:tc>
          <w:tcPr>
            <w:tcW w:type="dxa" w:w="1938"/>
          </w:tcPr>
          <w:p>
            <w:pPr>
              <w:spacing w:line="240" w:lineRule="auto" w:before="40" w:after="40"/>
              <w:ind w:firstLine="0"/>
            </w:pPr>
            <w:r>
              <w:rPr>
                <w:rFonts w:ascii="Liberation Serif" w:hAnsi="Liberation Serif"/>
                <w:sz w:val="24"/>
              </w:rPr>
              <w:t>150 000</w:t>
            </w:r>
          </w:p>
        </w:tc>
      </w:tr>
      <w:tr>
        <w:tc>
          <w:tcPr>
            <w:tcW w:type="dxa" w:w="1938"/>
          </w:tcPr>
          <w:p>
            <w:pPr>
              <w:spacing w:line="240" w:lineRule="auto" w:before="40" w:after="40"/>
              <w:ind w:firstLine="0"/>
            </w:pPr>
            <w:r>
              <w:rPr>
                <w:rFonts w:ascii="Liberation Serif" w:hAnsi="Liberation Serif"/>
                <w:sz w:val="24"/>
              </w:rPr>
              <w:t>11</w:t>
            </w:r>
          </w:p>
        </w:tc>
        <w:tc>
          <w:tcPr>
            <w:tcW w:type="dxa" w:w="1938"/>
          </w:tcPr>
          <w:p>
            <w:pPr>
              <w:spacing w:line="240" w:lineRule="auto" w:before="40" w:after="40"/>
              <w:ind w:firstLine="0"/>
            </w:pPr>
            <w:r>
              <w:rPr>
                <w:rFonts w:ascii="Liberation Serif" w:hAnsi="Liberation Serif"/>
                <w:sz w:val="24"/>
              </w:rPr>
              <w:t>Прочее (вентиляция, освещение, противопожарное оборудование, инструмент)</w:t>
            </w:r>
          </w:p>
        </w:tc>
        <w:tc>
          <w:tcPr>
            <w:tcW w:type="dxa" w:w="1938"/>
          </w:tcPr>
          <w:p>
            <w:pPr>
              <w:spacing w:line="240" w:lineRule="auto" w:before="40" w:after="40"/>
              <w:ind w:firstLine="0"/>
            </w:pPr>
            <w:r>
              <w:rPr>
                <w:rFonts w:ascii="Liberation Serif" w:hAnsi="Liberation Serif"/>
                <w:sz w:val="24"/>
              </w:rPr>
              <w:t>1</w:t>
            </w:r>
          </w:p>
        </w:tc>
        <w:tc>
          <w:tcPr>
            <w:tcW w:type="dxa" w:w="1938"/>
          </w:tcPr>
          <w:p>
            <w:pPr>
              <w:spacing w:line="240" w:lineRule="auto" w:before="40" w:after="40"/>
              <w:ind w:firstLine="0"/>
            </w:pPr>
            <w:r>
              <w:rPr>
                <w:rFonts w:ascii="Liberation Serif" w:hAnsi="Liberation Serif"/>
                <w:sz w:val="24"/>
              </w:rPr>
              <w:t>180 000</w:t>
            </w:r>
          </w:p>
        </w:tc>
        <w:tc>
          <w:tcPr>
            <w:tcW w:type="dxa" w:w="1938"/>
          </w:tcPr>
          <w:p>
            <w:pPr>
              <w:spacing w:line="240" w:lineRule="auto" w:before="40" w:after="40"/>
              <w:ind w:firstLine="0"/>
            </w:pPr>
            <w:r>
              <w:rPr>
                <w:rFonts w:ascii="Liberation Serif" w:hAnsi="Liberation Serif"/>
                <w:sz w:val="24"/>
              </w:rPr>
              <w:t>180 000</w:t>
            </w:r>
          </w:p>
        </w:tc>
      </w:tr>
      <w:tr>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t>ИТОГО CAPEX</w:t>
            </w:r>
          </w:p>
        </w:tc>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r>
          </w:p>
        </w:tc>
        <w:tc>
          <w:tcPr>
            <w:tcW w:type="dxa" w:w="1938"/>
          </w:tcPr>
          <w:p>
            <w:pPr>
              <w:spacing w:line="240" w:lineRule="auto" w:before="40" w:after="40"/>
              <w:ind w:firstLine="0"/>
            </w:pPr>
            <w:r>
              <w:rPr>
                <w:rFonts w:ascii="Liberation Serif" w:hAnsi="Liberation Serif"/>
                <w:sz w:val="24"/>
              </w:rPr>
              <w:t>4 794 873</w:t>
            </w:r>
          </w:p>
        </w:tc>
      </w:tr>
    </w:tbl>
    <w:p>
      <w:r>
        <w:t>Ключевым элементом капитальных затрат является комбинированный стенд «СИ-ТДК», предназначенный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CAPEX.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r>
        <w:t>Климатическая камера «Тепло-Влага ПРО КТВ 0/130-120 silent» стоимостью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53325-2024.</w:t>
      </w:r>
    </w:p>
    <w:p>
      <w:r>
        <w:t>Индукционные паяльные станции Quick 203H ESD (3 единицы по 17 200 рублей) обеспечивают сверхбыстрый нагрев жала за 20–25 секунд и прецизионное поддержание температуры (±2 °C) в диапазоне 50–600 °C за счёт высокочастотного индукционного принципа. Каждая станция комплектуется дымоуловителем DUET FE-250-2-А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r>
        <w:t>Инвестиции в пресс-форму для литья пластикового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литьевом производстве; изготовленные корпуса поставляются партиями.</w:t>
      </w:r>
    </w:p>
    <w:p>
      <w:pPr>
        <w:pStyle w:val="Heading3"/>
      </w:pPr>
      <w:r>
        <w:t>3.1.4 Номенклатура продукции</w:t>
      </w:r>
    </w:p>
    <w:p>
      <w:r>
        <w:t>Номенклатура выпускаемой продукции включает два основных товарных наименования и сопутствующие услуги:</w:t>
      </w:r>
    </w:p>
    <w:p>
      <w:pPr>
        <w:ind w:firstLine="709"/>
      </w:pPr>
      <w:r>
        <w:t>– Извещатель пожарный комбинированный дымо-тепловой — основное изделие предприятия. Объединяет оптико-электронный дымовой канал (ИК-излучатель Kingbright L-34F3C + фототранзистор Lite-On LTR-301, рабочая длина волны 940 нм) и максимально-дифференциальный тепловой канал (NTC-термистор Murata NCP18XH103F03RB, 10 кОм, допуск 1%). Вычислительное ядро — микроконтроллер WCH CH32V003F4P6 (архитектура RISC-V, 48 МГц). Отпускная оптовая цена — 1 800 рублей.</w:t>
      </w:r>
    </w:p>
    <w:p>
      <w:pPr>
        <w:ind w:firstLine="709"/>
      </w:pPr>
      <w:r>
        <w:t>– Монтажная база с интегрированным изолятором короткого замыкания — обязательный элемент адресной системы (в соответствии с Изменением №1 к СП 484.1311500.2020). Отпускная оптовая цена — 350 рублей.</w:t>
      </w:r>
    </w:p>
    <w:p>
      <w:pPr>
        <w:ind w:firstLine="709"/>
      </w:pPr>
      <w:r>
        <w:t>– Услуги пусконаладки и шефмонтажа — техническое сопровождение монтажных организаций при вводе системы в эксплуатацию. Ориентировочная стоимость — 5 000 рублей за один объект.</w:t>
      </w:r>
    </w:p>
    <w:p>
      <w:r>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pPr>
        <w:pStyle w:val="TableCaption"/>
      </w:pPr>
      <w:r>
        <w:t>Таблица 8 – Структура прямой себестоимости одного комбинированного извещателя (BOM)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40" w:after="40"/>
              <w:ind w:firstLine="0"/>
            </w:pPr>
            <w:r>
              <w:rPr>
                <w:rFonts w:ascii="Liberation Serif" w:hAnsi="Liberation Serif"/>
                <w:b/>
                <w:sz w:val="24"/>
              </w:rPr>
              <w:t>№</w:t>
            </w:r>
          </w:p>
        </w:tc>
        <w:tc>
          <w:tcPr>
            <w:tcW w:type="dxa" w:w="2422"/>
          </w:tcPr>
          <w:p>
            <w:pPr>
              <w:spacing w:line="240" w:lineRule="auto" w:before="40" w:after="40"/>
              <w:ind w:firstLine="0"/>
            </w:pPr>
            <w:r>
              <w:rPr>
                <w:rFonts w:ascii="Liberation Serif" w:hAnsi="Liberation Serif"/>
                <w:b/>
                <w:sz w:val="24"/>
              </w:rPr>
              <w:t>Компонент</w:t>
            </w:r>
          </w:p>
        </w:tc>
        <w:tc>
          <w:tcPr>
            <w:tcW w:type="dxa" w:w="2422"/>
          </w:tcPr>
          <w:p>
            <w:pPr>
              <w:spacing w:line="240" w:lineRule="auto" w:before="40" w:after="40"/>
              <w:ind w:firstLine="0"/>
            </w:pPr>
            <w:r>
              <w:rPr>
                <w:rFonts w:ascii="Liberation Serif" w:hAnsi="Liberation Serif"/>
                <w:b/>
                <w:sz w:val="24"/>
              </w:rPr>
              <w:t>Поставщик</w:t>
            </w:r>
          </w:p>
        </w:tc>
        <w:tc>
          <w:tcPr>
            <w:tcW w:type="dxa" w:w="2422"/>
          </w:tcPr>
          <w:p>
            <w:pPr>
              <w:spacing w:line="240" w:lineRule="auto" w:before="40" w:after="40"/>
              <w:ind w:firstLine="0"/>
            </w:pPr>
            <w:r>
              <w:rPr>
                <w:rFonts w:ascii="Liberation Serif" w:hAnsi="Liberation Serif"/>
                <w:b/>
                <w:sz w:val="24"/>
              </w:rPr>
              <w:t>Цена за ед., руб.</w:t>
            </w:r>
          </w:p>
        </w:tc>
      </w:tr>
      <w:tr>
        <w:tc>
          <w:tcPr>
            <w:tcW w:type="dxa" w:w="2422"/>
          </w:tcPr>
          <w:p>
            <w:pPr>
              <w:spacing w:line="240" w:lineRule="auto" w:before="40" w:after="40"/>
              <w:ind w:firstLine="0"/>
            </w:pPr>
            <w:r>
              <w:rPr>
                <w:rFonts w:ascii="Liberation Serif" w:hAnsi="Liberation Serif"/>
                <w:sz w:val="24"/>
              </w:rPr>
              <w:t>1</w:t>
            </w:r>
          </w:p>
        </w:tc>
        <w:tc>
          <w:tcPr>
            <w:tcW w:type="dxa" w:w="2422"/>
          </w:tcPr>
          <w:p>
            <w:pPr>
              <w:spacing w:line="240" w:lineRule="auto" w:before="40" w:after="40"/>
              <w:ind w:firstLine="0"/>
            </w:pPr>
            <w:r>
              <w:rPr>
                <w:rFonts w:ascii="Liberation Serif" w:hAnsi="Liberation Serif"/>
                <w:sz w:val="24"/>
              </w:rPr>
              <w:t>Печатная плата ДПП 50×50 мм (FR-4) + SMT-монтаж 50 точек</w:t>
            </w:r>
          </w:p>
        </w:tc>
        <w:tc>
          <w:tcPr>
            <w:tcW w:type="dxa" w:w="2422"/>
          </w:tcPr>
          <w:p>
            <w:pPr>
              <w:spacing w:line="240" w:lineRule="auto" w:before="40" w:after="40"/>
              <w:ind w:firstLine="0"/>
            </w:pPr>
            <w:r>
              <w:rPr>
                <w:rFonts w:ascii="Liberation Serif" w:hAnsi="Liberation Serif"/>
                <w:sz w:val="24"/>
              </w:rPr>
              <w:t>ООО «Электроконнект»</w:t>
            </w:r>
          </w:p>
        </w:tc>
        <w:tc>
          <w:tcPr>
            <w:tcW w:type="dxa" w:w="2422"/>
          </w:tcPr>
          <w:p>
            <w:pPr>
              <w:spacing w:line="240" w:lineRule="auto" w:before="40" w:after="40"/>
              <w:ind w:firstLine="0"/>
            </w:pPr>
            <w:r>
              <w:rPr>
                <w:rFonts w:ascii="Liberation Serif" w:hAnsi="Liberation Serif"/>
                <w:sz w:val="24"/>
              </w:rPr>
              <w:t>175</w:t>
            </w:r>
          </w:p>
        </w:tc>
      </w:tr>
      <w:tr>
        <w:tc>
          <w:tcPr>
            <w:tcW w:type="dxa" w:w="2422"/>
          </w:tcPr>
          <w:p>
            <w:pPr>
              <w:spacing w:line="240" w:lineRule="auto" w:before="40" w:after="40"/>
              <w:ind w:firstLine="0"/>
            </w:pPr>
            <w:r>
              <w:rPr>
                <w:rFonts w:ascii="Liberation Serif" w:hAnsi="Liberation Serif"/>
                <w:sz w:val="24"/>
              </w:rPr>
              <w:t>2</w:t>
            </w:r>
          </w:p>
        </w:tc>
        <w:tc>
          <w:tcPr>
            <w:tcW w:type="dxa" w:w="2422"/>
          </w:tcPr>
          <w:p>
            <w:pPr>
              <w:spacing w:line="240" w:lineRule="auto" w:before="40" w:after="40"/>
              <w:ind w:firstLine="0"/>
            </w:pPr>
            <w:r>
              <w:rPr>
                <w:rFonts w:ascii="Liberation Serif" w:hAnsi="Liberation Serif"/>
                <w:sz w:val="24"/>
              </w:rPr>
              <w:t>Пластиковый корпус (ABS, собственная пресс-форма)</w:t>
            </w:r>
          </w:p>
        </w:tc>
        <w:tc>
          <w:tcPr>
            <w:tcW w:type="dxa" w:w="2422"/>
          </w:tcPr>
          <w:p>
            <w:pPr>
              <w:spacing w:line="240" w:lineRule="auto" w:before="40" w:after="40"/>
              <w:ind w:firstLine="0"/>
            </w:pPr>
            <w:r>
              <w:rPr>
                <w:rFonts w:ascii="Liberation Serif" w:hAnsi="Liberation Serif"/>
                <w:sz w:val="24"/>
              </w:rPr>
              <w:t>Контрактное литьё</w:t>
            </w:r>
          </w:p>
        </w:tc>
        <w:tc>
          <w:tcPr>
            <w:tcW w:type="dxa" w:w="2422"/>
          </w:tcPr>
          <w:p>
            <w:pPr>
              <w:spacing w:line="240" w:lineRule="auto" w:before="40" w:after="40"/>
              <w:ind w:firstLine="0"/>
            </w:pPr>
            <w:r>
              <w:rPr>
                <w:rFonts w:ascii="Liberation Serif" w:hAnsi="Liberation Serif"/>
                <w:sz w:val="24"/>
              </w:rPr>
              <w:t>50</w:t>
            </w:r>
          </w:p>
        </w:tc>
      </w:tr>
      <w:tr>
        <w:tc>
          <w:tcPr>
            <w:tcW w:type="dxa" w:w="2422"/>
          </w:tcPr>
          <w:p>
            <w:pPr>
              <w:spacing w:line="240" w:lineRule="auto" w:before="40" w:after="40"/>
              <w:ind w:firstLine="0"/>
            </w:pPr>
            <w:r>
              <w:rPr>
                <w:rFonts w:ascii="Liberation Serif" w:hAnsi="Liberation Serif"/>
                <w:sz w:val="24"/>
              </w:rPr>
              <w:t>3</w:t>
            </w:r>
          </w:p>
        </w:tc>
        <w:tc>
          <w:tcPr>
            <w:tcW w:type="dxa" w:w="2422"/>
          </w:tcPr>
          <w:p>
            <w:pPr>
              <w:spacing w:line="240" w:lineRule="auto" w:before="40" w:after="40"/>
              <w:ind w:firstLine="0"/>
            </w:pPr>
            <w:r>
              <w:rPr>
                <w:rFonts w:ascii="Liberation Serif" w:hAnsi="Liberation Serif"/>
                <w:sz w:val="24"/>
              </w:rPr>
              <w:t>Микроконтроллер WCH CH32V003F4P6 (RISC-V, TSSOP-20)</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23</w:t>
            </w:r>
          </w:p>
        </w:tc>
      </w:tr>
      <w:tr>
        <w:tc>
          <w:tcPr>
            <w:tcW w:type="dxa" w:w="2422"/>
          </w:tcPr>
          <w:p>
            <w:pPr>
              <w:spacing w:line="240" w:lineRule="auto" w:before="40" w:after="40"/>
              <w:ind w:firstLine="0"/>
            </w:pPr>
            <w:r>
              <w:rPr>
                <w:rFonts w:ascii="Liberation Serif" w:hAnsi="Liberation Serif"/>
                <w:sz w:val="24"/>
              </w:rPr>
              <w:t>4</w:t>
            </w:r>
          </w:p>
        </w:tc>
        <w:tc>
          <w:tcPr>
            <w:tcW w:type="dxa" w:w="2422"/>
          </w:tcPr>
          <w:p>
            <w:pPr>
              <w:spacing w:line="240" w:lineRule="auto" w:before="40" w:after="40"/>
              <w:ind w:firstLine="0"/>
            </w:pPr>
            <w:r>
              <w:rPr>
                <w:rFonts w:ascii="Liberation Serif" w:hAnsi="Liberation Serif"/>
                <w:sz w:val="24"/>
              </w:rPr>
              <w:t>Термистор NTC Murata NCP18XH103F03RB (10 кОм, 0603)</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6</w:t>
            </w:r>
          </w:p>
        </w:tc>
      </w:tr>
      <w:tr>
        <w:tc>
          <w:tcPr>
            <w:tcW w:type="dxa" w:w="2422"/>
          </w:tcPr>
          <w:p>
            <w:pPr>
              <w:spacing w:line="240" w:lineRule="auto" w:before="40" w:after="40"/>
              <w:ind w:firstLine="0"/>
            </w:pPr>
            <w:r>
              <w:rPr>
                <w:rFonts w:ascii="Liberation Serif" w:hAnsi="Liberation Serif"/>
                <w:sz w:val="24"/>
              </w:rPr>
              <w:t>5</w:t>
            </w:r>
          </w:p>
        </w:tc>
        <w:tc>
          <w:tcPr>
            <w:tcW w:type="dxa" w:w="2422"/>
          </w:tcPr>
          <w:p>
            <w:pPr>
              <w:spacing w:line="240" w:lineRule="auto" w:before="40" w:after="40"/>
              <w:ind w:firstLine="0"/>
            </w:pPr>
            <w:r>
              <w:rPr>
                <w:rFonts w:ascii="Liberation Serif" w:hAnsi="Liberation Serif"/>
                <w:sz w:val="24"/>
              </w:rPr>
              <w:t>ИК-излучатель Kingbright L-34F3C (3 мм, 940 нм)</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16</w:t>
            </w:r>
          </w:p>
        </w:tc>
      </w:tr>
      <w:tr>
        <w:tc>
          <w:tcPr>
            <w:tcW w:type="dxa" w:w="2422"/>
          </w:tcPr>
          <w:p>
            <w:pPr>
              <w:spacing w:line="240" w:lineRule="auto" w:before="40" w:after="40"/>
              <w:ind w:firstLine="0"/>
            </w:pPr>
            <w:r>
              <w:rPr>
                <w:rFonts w:ascii="Liberation Serif" w:hAnsi="Liberation Serif"/>
                <w:sz w:val="24"/>
              </w:rPr>
              <w:t>6</w:t>
            </w:r>
          </w:p>
        </w:tc>
        <w:tc>
          <w:tcPr>
            <w:tcW w:type="dxa" w:w="2422"/>
          </w:tcPr>
          <w:p>
            <w:pPr>
              <w:spacing w:line="240" w:lineRule="auto" w:before="40" w:after="40"/>
              <w:ind w:firstLine="0"/>
            </w:pPr>
            <w:r>
              <w:rPr>
                <w:rFonts w:ascii="Liberation Serif" w:hAnsi="Liberation Serif"/>
                <w:sz w:val="24"/>
              </w:rPr>
              <w:t>Фототранзистор Lite-On LTR-301 (940 нм, угол 20°)</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30</w:t>
            </w:r>
          </w:p>
        </w:tc>
      </w:tr>
      <w:tr>
        <w:tc>
          <w:tcPr>
            <w:tcW w:type="dxa" w:w="2422"/>
          </w:tcPr>
          <w:p>
            <w:pPr>
              <w:spacing w:line="240" w:lineRule="auto" w:before="40" w:after="40"/>
              <w:ind w:firstLine="0"/>
            </w:pPr>
            <w:r>
              <w:rPr>
                <w:rFonts w:ascii="Liberation Serif" w:hAnsi="Liberation Serif"/>
                <w:sz w:val="24"/>
              </w:rPr>
              <w:t>7</w:t>
            </w:r>
          </w:p>
        </w:tc>
        <w:tc>
          <w:tcPr>
            <w:tcW w:type="dxa" w:w="2422"/>
          </w:tcPr>
          <w:p>
            <w:pPr>
              <w:spacing w:line="240" w:lineRule="auto" w:before="40" w:after="40"/>
              <w:ind w:firstLine="0"/>
            </w:pPr>
            <w:r>
              <w:rPr>
                <w:rFonts w:ascii="Liberation Serif" w:hAnsi="Liberation Serif"/>
                <w:sz w:val="24"/>
              </w:rPr>
              <w:t>Пассивные компоненты (резисторы, конденсаторы, ~20 шт.)</w:t>
            </w:r>
          </w:p>
        </w:tc>
        <w:tc>
          <w:tcPr>
            <w:tcW w:type="dxa" w:w="2422"/>
          </w:tcPr>
          <w:p>
            <w:pPr>
              <w:spacing w:line="240" w:lineRule="auto" w:before="40" w:after="40"/>
              <w:ind w:firstLine="0"/>
            </w:pPr>
            <w:r>
              <w:rPr>
                <w:rFonts w:ascii="Liberation Serif" w:hAnsi="Liberation Serif"/>
                <w:sz w:val="24"/>
              </w:rPr>
              <w:t>Компэл</w:t>
            </w:r>
          </w:p>
        </w:tc>
        <w:tc>
          <w:tcPr>
            <w:tcW w:type="dxa" w:w="2422"/>
          </w:tcPr>
          <w:p>
            <w:pPr>
              <w:spacing w:line="240" w:lineRule="auto" w:before="40" w:after="40"/>
              <w:ind w:firstLine="0"/>
            </w:pPr>
            <w:r>
              <w:rPr>
                <w:rFonts w:ascii="Liberation Serif" w:hAnsi="Liberation Serif"/>
                <w:sz w:val="24"/>
              </w:rPr>
              <w:t>20</w:t>
            </w:r>
          </w:p>
        </w:tc>
      </w:tr>
      <w:tr>
        <w:tc>
          <w:tcPr>
            <w:tcW w:type="dxa" w:w="2422"/>
          </w:tcPr>
          <w:p>
            <w:pPr>
              <w:spacing w:line="240" w:lineRule="auto" w:before="40" w:after="40"/>
              <w:ind w:firstLine="0"/>
            </w:pPr>
            <w:r>
              <w:rPr>
                <w:rFonts w:ascii="Liberation Serif" w:hAnsi="Liberation Serif"/>
                <w:sz w:val="24"/>
              </w:rPr>
              <w:t>8</w:t>
            </w:r>
          </w:p>
        </w:tc>
        <w:tc>
          <w:tcPr>
            <w:tcW w:type="dxa" w:w="2422"/>
          </w:tcPr>
          <w:p>
            <w:pPr>
              <w:spacing w:line="240" w:lineRule="auto" w:before="40" w:after="40"/>
              <w:ind w:firstLine="0"/>
            </w:pPr>
            <w:r>
              <w:rPr>
                <w:rFonts w:ascii="Liberation Serif" w:hAnsi="Liberation Serif"/>
                <w:sz w:val="24"/>
              </w:rPr>
              <w:t>Разъёмы, светодиод индикации, кнопка тест</w:t>
            </w:r>
          </w:p>
        </w:tc>
        <w:tc>
          <w:tcPr>
            <w:tcW w:type="dxa" w:w="2422"/>
          </w:tcPr>
          <w:p>
            <w:pPr>
              <w:spacing w:line="240" w:lineRule="auto" w:before="40" w:after="40"/>
              <w:ind w:firstLine="0"/>
            </w:pPr>
            <w:r>
              <w:rPr>
                <w:rFonts w:ascii="Liberation Serif" w:hAnsi="Liberation Serif"/>
                <w:sz w:val="24"/>
              </w:rPr>
              <w:t>ЧИП и ДИП</w:t>
            </w:r>
          </w:p>
        </w:tc>
        <w:tc>
          <w:tcPr>
            <w:tcW w:type="dxa" w:w="2422"/>
          </w:tcPr>
          <w:p>
            <w:pPr>
              <w:spacing w:line="240" w:lineRule="auto" w:before="40" w:after="40"/>
              <w:ind w:firstLine="0"/>
            </w:pPr>
            <w:r>
              <w:rPr>
                <w:rFonts w:ascii="Liberation Serif" w:hAnsi="Liberation Serif"/>
                <w:sz w:val="24"/>
              </w:rPr>
              <w:t>15</w:t>
            </w:r>
          </w:p>
        </w:tc>
      </w:tr>
      <w:tr>
        <w:tc>
          <w:tcPr>
            <w:tcW w:type="dxa" w:w="2422"/>
          </w:tcPr>
          <w:p>
            <w:pPr>
              <w:spacing w:line="240" w:lineRule="auto" w:before="40" w:after="40"/>
              <w:ind w:firstLine="0"/>
            </w:pPr>
            <w:r>
              <w:rPr>
                <w:rFonts w:ascii="Liberation Serif" w:hAnsi="Liberation Serif"/>
                <w:sz w:val="24"/>
              </w:rPr>
              <w:t>9</w:t>
            </w:r>
          </w:p>
        </w:tc>
        <w:tc>
          <w:tcPr>
            <w:tcW w:type="dxa" w:w="2422"/>
          </w:tcPr>
          <w:p>
            <w:pPr>
              <w:spacing w:line="240" w:lineRule="auto" w:before="40" w:after="40"/>
              <w:ind w:firstLine="0"/>
            </w:pPr>
            <w:r>
              <w:rPr>
                <w:rFonts w:ascii="Liberation Serif" w:hAnsi="Liberation Serif"/>
                <w:sz w:val="24"/>
              </w:rPr>
              <w:t>Расходные материалы (припой ПОС-61, флюс, изопропанол)</w:t>
            </w:r>
          </w:p>
        </w:tc>
        <w:tc>
          <w:tcPr>
            <w:tcW w:type="dxa" w:w="2422"/>
          </w:tcPr>
          <w:p>
            <w:pPr>
              <w:spacing w:line="240" w:lineRule="auto" w:before="40" w:after="40"/>
              <w:ind w:firstLine="0"/>
            </w:pPr>
            <w:r>
              <w:rPr>
                <w:rFonts w:ascii="Liberation Serif" w:hAnsi="Liberation Serif"/>
                <w:sz w:val="24"/>
              </w:rPr>
              <w:t>—</w:t>
            </w:r>
          </w:p>
        </w:tc>
        <w:tc>
          <w:tcPr>
            <w:tcW w:type="dxa" w:w="2422"/>
          </w:tcPr>
          <w:p>
            <w:pPr>
              <w:spacing w:line="240" w:lineRule="auto" w:before="40" w:after="40"/>
              <w:ind w:firstLine="0"/>
            </w:pPr>
            <w:r>
              <w:rPr>
                <w:rFonts w:ascii="Liberation Serif" w:hAnsi="Liberation Serif"/>
                <w:sz w:val="24"/>
              </w:rPr>
              <w:t>25</w:t>
            </w:r>
          </w:p>
        </w:tc>
      </w:tr>
      <w:tr>
        <w:tc>
          <w:tcPr>
            <w:tcW w:type="dxa" w:w="2422"/>
          </w:tcPr>
          <w:p>
            <w:pPr>
              <w:spacing w:line="240" w:lineRule="auto" w:before="40" w:after="40"/>
              <w:ind w:firstLine="0"/>
            </w:pPr>
            <w:r>
              <w:rPr>
                <w:rFonts w:ascii="Liberation Serif" w:hAnsi="Liberation Serif"/>
                <w:sz w:val="24"/>
              </w:rPr>
              <w:t>10</w:t>
            </w:r>
          </w:p>
        </w:tc>
        <w:tc>
          <w:tcPr>
            <w:tcW w:type="dxa" w:w="2422"/>
          </w:tcPr>
          <w:p>
            <w:pPr>
              <w:spacing w:line="240" w:lineRule="auto" w:before="40" w:after="40"/>
              <w:ind w:firstLine="0"/>
            </w:pPr>
            <w:r>
              <w:rPr>
                <w:rFonts w:ascii="Liberation Serif" w:hAnsi="Liberation Serif"/>
                <w:sz w:val="24"/>
              </w:rPr>
              <w:t>Упаковка (индивидуальная коробка, инструкция, этикетка)</w:t>
            </w:r>
          </w:p>
        </w:tc>
        <w:tc>
          <w:tcPr>
            <w:tcW w:type="dxa" w:w="2422"/>
          </w:tcPr>
          <w:p>
            <w:pPr>
              <w:spacing w:line="240" w:lineRule="auto" w:before="40" w:after="40"/>
              <w:ind w:firstLine="0"/>
            </w:pPr>
            <w:r>
              <w:rPr>
                <w:rFonts w:ascii="Liberation Serif" w:hAnsi="Liberation Serif"/>
                <w:sz w:val="24"/>
              </w:rPr>
              <w:t>—</w:t>
            </w:r>
          </w:p>
        </w:tc>
        <w:tc>
          <w:tcPr>
            <w:tcW w:type="dxa" w:w="2422"/>
          </w:tcPr>
          <w:p>
            <w:pPr>
              <w:spacing w:line="240" w:lineRule="auto" w:before="40" w:after="40"/>
              <w:ind w:firstLine="0"/>
            </w:pPr>
            <w:r>
              <w:rPr>
                <w:rFonts w:ascii="Liberation Serif" w:hAnsi="Liberation Serif"/>
                <w:sz w:val="24"/>
              </w:rPr>
              <w:t>22</w:t>
            </w:r>
          </w:p>
        </w:tc>
      </w:tr>
      <w:tr>
        <w:tc>
          <w:tcPr>
            <w:tcW w:type="dxa" w:w="2422"/>
          </w:tcPr>
          <w:p>
            <w:pPr>
              <w:spacing w:line="240" w:lineRule="auto" w:before="40" w:after="40"/>
              <w:ind w:firstLine="0"/>
            </w:pPr>
            <w:r>
              <w:rPr>
                <w:rFonts w:ascii="Liberation Serif" w:hAnsi="Liberation Serif"/>
                <w:sz w:val="24"/>
              </w:rPr>
            </w:r>
          </w:p>
        </w:tc>
        <w:tc>
          <w:tcPr>
            <w:tcW w:type="dxa" w:w="2422"/>
          </w:tcPr>
          <w:p>
            <w:pPr>
              <w:spacing w:line="240" w:lineRule="auto" w:before="40" w:after="40"/>
              <w:ind w:firstLine="0"/>
            </w:pPr>
            <w:r>
              <w:rPr>
                <w:rFonts w:ascii="Liberation Serif" w:hAnsi="Liberation Serif"/>
                <w:sz w:val="24"/>
              </w:rPr>
              <w:t>ИТОГО прямая себестоимость</w:t>
            </w:r>
          </w:p>
        </w:tc>
        <w:tc>
          <w:tcPr>
            <w:tcW w:type="dxa" w:w="2422"/>
          </w:tcPr>
          <w:p>
            <w:pPr>
              <w:spacing w:line="240" w:lineRule="auto" w:before="40" w:after="40"/>
              <w:ind w:firstLine="0"/>
            </w:pPr>
            <w:r>
              <w:rPr>
                <w:rFonts w:ascii="Liberation Serif" w:hAnsi="Liberation Serif"/>
                <w:sz w:val="24"/>
              </w:rPr>
            </w:r>
          </w:p>
        </w:tc>
        <w:tc>
          <w:tcPr>
            <w:tcW w:type="dxa" w:w="2422"/>
          </w:tcPr>
          <w:p>
            <w:pPr>
              <w:spacing w:line="240" w:lineRule="auto" w:before="40" w:after="40"/>
              <w:ind w:firstLine="0"/>
            </w:pPr>
            <w:r>
              <w:rPr>
                <w:rFonts w:ascii="Liberation Serif" w:hAnsi="Liberation Serif"/>
                <w:sz w:val="24"/>
              </w:rPr>
              <w:t>382</w:t>
            </w:r>
          </w:p>
        </w:tc>
      </w:tr>
    </w:tbl>
    <w:p>
      <w:r>
        <w:t>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RISC-V (микроконтроллер WCH CH32V003 стоимостью 23 рубля вместо западного STM32 стоимостью 84 рубля), передачей SMT-монтажа на контрактное производство «Электроконнект» по конкурентоспособным тарифам (1,50 рубля за точку пайки) и наличием собственной пресс-формы для литья корпусов.</w:t>
      </w:r>
    </w:p>
    <w:p>
      <w:pPr>
        <w:pStyle w:val="TableCaption"/>
      </w:pPr>
      <w:r>
        <w:t>Таблица 9 – Источники финансирования проекта</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line="240" w:lineRule="auto" w:before="40" w:after="40"/>
              <w:ind w:firstLine="0"/>
            </w:pPr>
            <w:r>
              <w:rPr>
                <w:rFonts w:ascii="Liberation Serif" w:hAnsi="Liberation Serif"/>
                <w:b/>
                <w:sz w:val="24"/>
              </w:rPr>
              <w:t>Источник</w:t>
            </w:r>
          </w:p>
        </w:tc>
        <w:tc>
          <w:tcPr>
            <w:tcW w:type="dxa" w:w="3230"/>
          </w:tcPr>
          <w:p>
            <w:pPr>
              <w:spacing w:line="240" w:lineRule="auto" w:before="40" w:after="40"/>
              <w:ind w:firstLine="0"/>
            </w:pPr>
            <w:r>
              <w:rPr>
                <w:rFonts w:ascii="Liberation Serif" w:hAnsi="Liberation Serif"/>
                <w:b/>
                <w:sz w:val="24"/>
              </w:rPr>
              <w:t>Сумма, руб.</w:t>
            </w:r>
          </w:p>
        </w:tc>
        <w:tc>
          <w:tcPr>
            <w:tcW w:type="dxa" w:w="3230"/>
          </w:tcPr>
          <w:p>
            <w:pPr>
              <w:spacing w:line="240" w:lineRule="auto" w:before="40" w:after="40"/>
              <w:ind w:firstLine="0"/>
            </w:pPr>
            <w:r>
              <w:rPr>
                <w:rFonts w:ascii="Liberation Serif" w:hAnsi="Liberation Serif"/>
                <w:b/>
                <w:sz w:val="24"/>
              </w:rPr>
              <w:t>Условия</w:t>
            </w:r>
          </w:p>
        </w:tc>
      </w:tr>
      <w:tr>
        <w:tc>
          <w:tcPr>
            <w:tcW w:type="dxa" w:w="3230"/>
          </w:tcPr>
          <w:p>
            <w:pPr>
              <w:spacing w:line="240" w:lineRule="auto" w:before="40" w:after="40"/>
              <w:ind w:firstLine="0"/>
            </w:pPr>
            <w:r>
              <w:rPr>
                <w:rFonts w:ascii="Liberation Serif" w:hAnsi="Liberation Serif"/>
                <w:sz w:val="24"/>
              </w:rPr>
              <w:t>Собственные средства учредителей</w:t>
            </w:r>
          </w:p>
        </w:tc>
        <w:tc>
          <w:tcPr>
            <w:tcW w:type="dxa" w:w="3230"/>
          </w:tcPr>
          <w:p>
            <w:pPr>
              <w:spacing w:line="240" w:lineRule="auto" w:before="40" w:after="40"/>
              <w:ind w:firstLine="0"/>
            </w:pPr>
            <w:r>
              <w:rPr>
                <w:rFonts w:ascii="Liberation Serif" w:hAnsi="Liberation Serif"/>
                <w:sz w:val="24"/>
              </w:rPr>
              <w:t>3 000 000</w:t>
            </w:r>
          </w:p>
        </w:tc>
        <w:tc>
          <w:tcPr>
            <w:tcW w:type="dxa" w:w="3230"/>
          </w:tcPr>
          <w:p>
            <w:pPr>
              <w:spacing w:line="240" w:lineRule="auto" w:before="40" w:after="40"/>
              <w:ind w:firstLine="0"/>
            </w:pPr>
            <w:r>
              <w:rPr>
                <w:rFonts w:ascii="Liberation Serif" w:hAnsi="Liberation Serif"/>
                <w:sz w:val="24"/>
              </w:rPr>
              <w:t>Взнос в уставный капитал</w:t>
            </w:r>
          </w:p>
        </w:tc>
      </w:tr>
      <w:tr>
        <w:tc>
          <w:tcPr>
            <w:tcW w:type="dxa" w:w="3230"/>
          </w:tcPr>
          <w:p>
            <w:pPr>
              <w:spacing w:line="240" w:lineRule="auto" w:before="40" w:after="40"/>
              <w:ind w:firstLine="0"/>
            </w:pPr>
            <w:r>
              <w:rPr>
                <w:rFonts w:ascii="Liberation Serif" w:hAnsi="Liberation Serif"/>
                <w:sz w:val="24"/>
              </w:rPr>
              <w:t>Кредит МСП (банковский)</w:t>
            </w:r>
          </w:p>
        </w:tc>
        <w:tc>
          <w:tcPr>
            <w:tcW w:type="dxa" w:w="3230"/>
          </w:tcPr>
          <w:p>
            <w:pPr>
              <w:spacing w:line="240" w:lineRule="auto" w:before="40" w:after="40"/>
              <w:ind w:firstLine="0"/>
            </w:pPr>
            <w:r>
              <w:rPr>
                <w:rFonts w:ascii="Liberation Serif" w:hAnsi="Liberation Serif"/>
                <w:sz w:val="24"/>
              </w:rPr>
              <w:t>2 000 000</w:t>
            </w:r>
          </w:p>
        </w:tc>
        <w:tc>
          <w:tcPr>
            <w:tcW w:type="dxa" w:w="3230"/>
          </w:tcPr>
          <w:p>
            <w:pPr>
              <w:spacing w:line="240" w:lineRule="auto" w:before="40" w:after="40"/>
              <w:ind w:firstLine="0"/>
            </w:pPr>
            <w:r>
              <w:rPr>
                <w:rFonts w:ascii="Liberation Serif" w:hAnsi="Liberation Serif"/>
                <w:sz w:val="24"/>
              </w:rPr>
              <w:t>12% годовых, 36 мес., аннуитетные платежи</w:t>
            </w:r>
          </w:p>
        </w:tc>
      </w:tr>
      <w:tr>
        <w:tc>
          <w:tcPr>
            <w:tcW w:type="dxa" w:w="3230"/>
          </w:tcPr>
          <w:p>
            <w:pPr>
              <w:spacing w:line="240" w:lineRule="auto" w:before="40" w:after="40"/>
              <w:ind w:firstLine="0"/>
            </w:pPr>
            <w:r>
              <w:rPr>
                <w:rFonts w:ascii="Liberation Serif" w:hAnsi="Liberation Serif"/>
                <w:sz w:val="24"/>
              </w:rPr>
              <w:t>ИТОГО</w:t>
            </w:r>
          </w:p>
        </w:tc>
        <w:tc>
          <w:tcPr>
            <w:tcW w:type="dxa" w:w="3230"/>
          </w:tcPr>
          <w:p>
            <w:pPr>
              <w:spacing w:line="240" w:lineRule="auto" w:before="40" w:after="40"/>
              <w:ind w:firstLine="0"/>
            </w:pPr>
            <w:r>
              <w:rPr>
                <w:rFonts w:ascii="Liberation Serif" w:hAnsi="Liberation Serif"/>
                <w:sz w:val="24"/>
              </w:rPr>
              <w:t>5 000 000</w:t>
            </w:r>
          </w:p>
        </w:tc>
        <w:tc>
          <w:tcPr>
            <w:tcW w:type="dxa" w:w="3230"/>
          </w:tcPr>
          <w:p>
            <w:pPr>
              <w:spacing w:line="240" w:lineRule="auto" w:before="40" w:after="40"/>
              <w:ind w:firstLine="0"/>
            </w:pPr>
            <w:r>
              <w:rPr>
                <w:rFonts w:ascii="Liberation Serif" w:hAnsi="Liberation Serif"/>
                <w:sz w:val="24"/>
              </w:rPr>
              <w:t>—</w:t>
            </w:r>
          </w:p>
        </w:tc>
      </w:tr>
    </w:tbl>
    <w:p>
      <w:r>
        <w:t>Совокупная потребность в финансировании составляет 5 000 000 рублей, из которых 4 794 873 рубля направляются на капитальные вложения (CAPEX), а остаток (~205 000 рублей) формирует начальный оборотный капитал для закупки первой партии комплектующих. Кредит МСП привлекается на стандартных условиях программы поддержки малого и среднего предпринимательства: ставка 12% годовых, срок 36 месяцев, аннуитетные (равные ежемесячные) платежи. Расчётный ежемесячный платёж по кредиту составляет приблизительно 66 400 рублей.</w:t>
      </w:r>
    </w:p>
    <w:p>
      <w:pPr>
        <w:pStyle w:val="Heading2"/>
      </w:pPr>
      <w:r>
        <w:t>3.2 Календарный план работ</w:t>
      </w:r>
    </w:p>
    <w:p>
      <w:r>
        <w:t>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Ганта. Календарный план охватывает период с момента принятия решения об инвестировании (1 сентября 2026 года) до начала операционной деятельности (1 января 2027 года) и включает ключевые вехи инвестиционной фазы.</w:t>
      </w:r>
    </w:p>
    <w:p>
      <w:r>
        <w:t>Реализация проекта разбита на три последовательные стадии общей продолжительностью четыре месяца (16 недель).</w:t>
      </w:r>
    </w:p>
    <w:p>
      <w:r>
        <w:t>Первая стадия — организационно-подготовительная (недели 1–4, сентябрь 2026). Данная стадия включает следующие мероприятия:</w:t>
      </w:r>
    </w:p>
    <w:p>
      <w:pPr>
        <w:ind w:firstLine="709"/>
      </w:pPr>
      <w:r>
        <w:t>– регистрация юридического лица ООО «СигналПром» в ФНС России, постановка на учёт в качестве плательщика УСН 15%;</w:t>
      </w:r>
    </w:p>
    <w:p>
      <w:pPr>
        <w:ind w:firstLine="709"/>
      </w:pPr>
      <w:r>
        <w:t>– подписание договора аренды помещения по адресу ул. Радиозаводская, д. 2 (142,5 м²);</w:t>
      </w:r>
    </w:p>
    <w:p>
      <w:pPr>
        <w:ind w:firstLine="709"/>
      </w:pPr>
      <w:r>
        <w:t>– оформление кредитного договора МСП (2 000 000 рублей, 12% годовых, 36 месяцев);</w:t>
      </w:r>
    </w:p>
    <w:p>
      <w:pPr>
        <w:ind w:firstLine="709"/>
      </w:pPr>
      <w:r>
        <w:t>– разработка конструкторской и технологической документации на комбинированный извещатель (принципиальная электрическая схема, сборочный чертёж, технические условия);</w:t>
      </w:r>
    </w:p>
    <w:p>
      <w:pPr>
        <w:ind w:firstLine="709"/>
      </w:pPr>
      <w:r>
        <w:t>– проведение тендера на закупку основного технологического оборудования (стенд «СИ-ТДК», климатическая камера, паяльные станции);</w:t>
      </w:r>
    </w:p>
    <w:p>
      <w:pPr>
        <w:ind w:firstLine="709"/>
      </w:pPr>
      <w:r>
        <w:t>– размещение заказа на изготовление пресс-формы для литья пластикового корпуса.</w:t>
      </w:r>
    </w:p>
    <w:p>
      <w:r>
        <w:t>Вторая стадия — инвестиционная (недели 5–12, октябрь–ноябрь 2026). Наиболее капиталоёмкая и технически сложная стадия, состоящая из параллельно идущих процессов:</w:t>
      </w:r>
    </w:p>
    <w:p>
      <w:pPr>
        <w:ind w:firstLine="709"/>
      </w:pPr>
      <w:r>
        <w:t>– ремонт и подготовка помещения: монтаж антистатических ESD-полов, контура заземления, приточно-вытяжной вентиляции, промышленного освещения (4 недели);</w:t>
      </w:r>
    </w:p>
    <w:p>
      <w:pPr>
        <w:ind w:firstLine="709"/>
      </w:pPr>
      <w:r>
        <w:t>– закупка и доставка основного оборудования: стенд «СИ-ТДК», камера «Тепло-Влага ПРО КТВ 0/130-120», паяльные станции Quick 203H ESD, дымоуловители DUET, принтер Godex RT230 (6 недель, включая логистику);</w:t>
      </w:r>
    </w:p>
    <w:p>
      <w:pPr>
        <w:ind w:firstLine="709"/>
      </w:pPr>
      <w:r>
        <w:t>– монтаж и пусконаладка технологического оборудования: установка стенда, подключение к электросети, калибровка измерительных каналов (2 недели);</w:t>
      </w:r>
    </w:p>
    <w:p>
      <w:pPr>
        <w:ind w:firstLine="709"/>
      </w:pPr>
      <w:r>
        <w:t>– установка и настройка автоматизированных рабочих мест (АРМ) программатора: ПК, среда разработки MounRiver Studio, программатор WCH-LinkE, отладка процедуры прошивки микроконтроллера CH32V003 (1 неделя);</w:t>
      </w:r>
    </w:p>
    <w:p>
      <w:pPr>
        <w:ind w:firstLine="709"/>
      </w:pPr>
      <w:r>
        <w:t>– закупка стартовой партии электронной компонентной базы (ЭКБ) и печатных плат с SMT-монтажом у ООО «Электроконнект» (3 недели на изготовление и доставку);</w:t>
      </w:r>
    </w:p>
    <w:p>
      <w:pPr>
        <w:ind w:firstLine="709"/>
      </w:pPr>
      <w:r>
        <w:t>– получение первой партии пластиковых корпусов от контрактного литьевого производства (параллельно с изготовлением пресс-формы, общий срок 8 недель от заказа).</w:t>
      </w:r>
    </w:p>
    <w:p>
      <w:r>
        <w:t>Третья стадия — предпусковая (недели 13–16, декабрь 2026). Критическая стадия, по завершении которой предприятие получает юридическое право на выпуск и реализацию продукции:</w:t>
      </w:r>
    </w:p>
    <w:p>
      <w:pPr>
        <w:ind w:firstLine="709"/>
      </w:pPr>
      <w:r>
        <w:t>– найм и обучение производственного персонала: сборщики РЭА, техник ОТК (2 недели);</w:t>
      </w:r>
    </w:p>
    <w:p>
      <w:pPr>
        <w:ind w:firstLine="709"/>
      </w:pPr>
      <w:r>
        <w:t>– сборка пробной партии извещателей (30–50 штук) для внутренней отработки технологического процесса и настройки алгоритмов MES-системы (1 неделя);</w:t>
      </w:r>
    </w:p>
    <w:p>
      <w:pPr>
        <w:ind w:firstLine="709"/>
      </w:pPr>
      <w:r>
        <w:t>– подготовка и передача образцов продукции в аккредитованную испытательную лабораторию для проведения сертификационных испытаний по ТР ЕАЭС 043/2017 (подача документов — 1 неделя, лабораторные испытания — 3–4 недели, с учётом наложения на декабрь–январь);</w:t>
      </w:r>
    </w:p>
    <w:p>
      <w:pPr>
        <w:ind w:firstLine="709"/>
      </w:pPr>
      <w:r>
        <w:t>–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p>
    <w:p>
      <w:r>
        <w:t>[МЕСТО ДЛЯ ДИАГРАММЫ ГАНТА: Календарный план реализации инвестиционного проекта]</w:t>
      </w:r>
    </w:p>
    <w:p>
      <w:pPr>
        <w:pStyle w:val="FigureCaption"/>
      </w:pPr>
      <w:r>
        <w:t>Рисунок 2 – Календарный план реализации инвестиционного проекта (диаграмма Ганта)</w:t>
      </w:r>
    </w:p>
    <w:p>
      <w:pPr>
        <w:pStyle w:val="TableCaption"/>
      </w:pPr>
      <w:r>
        <w:t>Таблица 10 – Календарный план реализации инвестиционного проекта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40" w:after="40"/>
              <w:ind w:firstLine="0"/>
            </w:pPr>
            <w:r>
              <w:rPr>
                <w:rFonts w:ascii="Liberation Serif" w:hAnsi="Liberation Serif"/>
                <w:b/>
                <w:sz w:val="24"/>
              </w:rPr>
              <w:t>№</w:t>
            </w:r>
          </w:p>
        </w:tc>
        <w:tc>
          <w:tcPr>
            <w:tcW w:type="dxa" w:w="2422"/>
          </w:tcPr>
          <w:p>
            <w:pPr>
              <w:spacing w:line="240" w:lineRule="auto" w:before="40" w:after="40"/>
              <w:ind w:firstLine="0"/>
            </w:pPr>
            <w:r>
              <w:rPr>
                <w:rFonts w:ascii="Liberation Serif" w:hAnsi="Liberation Serif"/>
                <w:b/>
                <w:sz w:val="24"/>
              </w:rPr>
              <w:t>Наименование этапа</w:t>
            </w:r>
          </w:p>
        </w:tc>
        <w:tc>
          <w:tcPr>
            <w:tcW w:type="dxa" w:w="2422"/>
          </w:tcPr>
          <w:p>
            <w:pPr>
              <w:spacing w:line="240" w:lineRule="auto" w:before="40" w:after="40"/>
              <w:ind w:firstLine="0"/>
            </w:pPr>
            <w:r>
              <w:rPr>
                <w:rFonts w:ascii="Liberation Serif" w:hAnsi="Liberation Serif"/>
                <w:b/>
                <w:sz w:val="24"/>
              </w:rPr>
              <w:t>Срок</w:t>
            </w:r>
          </w:p>
        </w:tc>
        <w:tc>
          <w:tcPr>
            <w:tcW w:type="dxa" w:w="2422"/>
          </w:tcPr>
          <w:p>
            <w:pPr>
              <w:spacing w:line="240" w:lineRule="auto" w:before="40" w:after="40"/>
              <w:ind w:firstLine="0"/>
            </w:pPr>
            <w:r>
              <w:rPr>
                <w:rFonts w:ascii="Liberation Serif" w:hAnsi="Liberation Serif"/>
                <w:b/>
                <w:sz w:val="24"/>
              </w:rPr>
              <w:t>Длительность</w:t>
            </w:r>
          </w:p>
        </w:tc>
      </w:tr>
      <w:tr>
        <w:tc>
          <w:tcPr>
            <w:tcW w:type="dxa" w:w="2422"/>
          </w:tcPr>
          <w:p>
            <w:pPr>
              <w:spacing w:line="240" w:lineRule="auto" w:before="40" w:after="40"/>
              <w:ind w:firstLine="0"/>
            </w:pPr>
            <w:r>
              <w:rPr>
                <w:rFonts w:ascii="Liberation Serif" w:hAnsi="Liberation Serif"/>
                <w:sz w:val="24"/>
              </w:rPr>
              <w:t>1</w:t>
            </w:r>
          </w:p>
        </w:tc>
        <w:tc>
          <w:tcPr>
            <w:tcW w:type="dxa" w:w="2422"/>
          </w:tcPr>
          <w:p>
            <w:pPr>
              <w:spacing w:line="240" w:lineRule="auto" w:before="40" w:after="40"/>
              <w:ind w:firstLine="0"/>
            </w:pPr>
            <w:r>
              <w:rPr>
                <w:rFonts w:ascii="Liberation Serif" w:hAnsi="Liberation Serif"/>
                <w:sz w:val="24"/>
              </w:rPr>
              <w:t>Регистрация ООО, оформление кредита</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2</w:t>
            </w:r>
          </w:p>
        </w:tc>
        <w:tc>
          <w:tcPr>
            <w:tcW w:type="dxa" w:w="2422"/>
          </w:tcPr>
          <w:p>
            <w:pPr>
              <w:spacing w:line="240" w:lineRule="auto" w:before="40" w:after="40"/>
              <w:ind w:firstLine="0"/>
            </w:pPr>
            <w:r>
              <w:rPr>
                <w:rFonts w:ascii="Liberation Serif" w:hAnsi="Liberation Serif"/>
                <w:sz w:val="24"/>
              </w:rPr>
              <w:t>Подписание договора аренды</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3</w:t>
            </w:r>
          </w:p>
        </w:tc>
        <w:tc>
          <w:tcPr>
            <w:tcW w:type="dxa" w:w="2422"/>
          </w:tcPr>
          <w:p>
            <w:pPr>
              <w:spacing w:line="240" w:lineRule="auto" w:before="40" w:after="40"/>
              <w:ind w:firstLine="0"/>
            </w:pPr>
            <w:r>
              <w:rPr>
                <w:rFonts w:ascii="Liberation Serif" w:hAnsi="Liberation Serif"/>
                <w:sz w:val="24"/>
              </w:rPr>
              <w:t>Разработка КД и ТУ на извещатель</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4</w:t>
            </w:r>
          </w:p>
        </w:tc>
        <w:tc>
          <w:tcPr>
            <w:tcW w:type="dxa" w:w="2422"/>
          </w:tcPr>
          <w:p>
            <w:pPr>
              <w:spacing w:line="240" w:lineRule="auto" w:before="40" w:after="40"/>
              <w:ind w:firstLine="0"/>
            </w:pPr>
            <w:r>
              <w:rPr>
                <w:rFonts w:ascii="Liberation Serif" w:hAnsi="Liberation Serif"/>
                <w:sz w:val="24"/>
              </w:rPr>
              <w:t>Тендер и закупка оборудования</w:t>
            </w:r>
          </w:p>
        </w:tc>
        <w:tc>
          <w:tcPr>
            <w:tcW w:type="dxa" w:w="2422"/>
          </w:tcPr>
          <w:p>
            <w:pPr>
              <w:spacing w:line="240" w:lineRule="auto" w:before="40" w:after="40"/>
              <w:ind w:firstLine="0"/>
            </w:pPr>
            <w:r>
              <w:rPr>
                <w:rFonts w:ascii="Liberation Serif" w:hAnsi="Liberation Serif"/>
                <w:sz w:val="24"/>
              </w:rPr>
              <w:t>Сентябрь–Октябрь 2026</w:t>
            </w:r>
          </w:p>
        </w:tc>
        <w:tc>
          <w:tcPr>
            <w:tcW w:type="dxa" w:w="2422"/>
          </w:tcPr>
          <w:p>
            <w:pPr>
              <w:spacing w:line="240" w:lineRule="auto" w:before="40" w:after="40"/>
              <w:ind w:firstLine="0"/>
            </w:pPr>
            <w:r>
              <w:rPr>
                <w:rFonts w:ascii="Liberation Serif" w:hAnsi="Liberation Serif"/>
                <w:sz w:val="24"/>
              </w:rPr>
              <w:t>3 недели</w:t>
            </w:r>
          </w:p>
        </w:tc>
      </w:tr>
      <w:tr>
        <w:tc>
          <w:tcPr>
            <w:tcW w:type="dxa" w:w="2422"/>
          </w:tcPr>
          <w:p>
            <w:pPr>
              <w:spacing w:line="240" w:lineRule="auto" w:before="40" w:after="40"/>
              <w:ind w:firstLine="0"/>
            </w:pPr>
            <w:r>
              <w:rPr>
                <w:rFonts w:ascii="Liberation Serif" w:hAnsi="Liberation Serif"/>
                <w:sz w:val="24"/>
              </w:rPr>
              <w:t>5</w:t>
            </w:r>
          </w:p>
        </w:tc>
        <w:tc>
          <w:tcPr>
            <w:tcW w:type="dxa" w:w="2422"/>
          </w:tcPr>
          <w:p>
            <w:pPr>
              <w:spacing w:line="240" w:lineRule="auto" w:before="40" w:after="40"/>
              <w:ind w:firstLine="0"/>
            </w:pPr>
            <w:r>
              <w:rPr>
                <w:rFonts w:ascii="Liberation Serif" w:hAnsi="Liberation Serif"/>
                <w:sz w:val="24"/>
              </w:rPr>
              <w:t>Заказ пресс-формы корпуса</w:t>
            </w:r>
          </w:p>
        </w:tc>
        <w:tc>
          <w:tcPr>
            <w:tcW w:type="dxa" w:w="2422"/>
          </w:tcPr>
          <w:p>
            <w:pPr>
              <w:spacing w:line="240" w:lineRule="auto" w:before="40" w:after="40"/>
              <w:ind w:firstLine="0"/>
            </w:pPr>
            <w:r>
              <w:rPr>
                <w:rFonts w:ascii="Liberation Serif" w:hAnsi="Liberation Serif"/>
                <w:sz w:val="24"/>
              </w:rPr>
              <w:t>Сентябрь 2026</w:t>
            </w:r>
          </w:p>
        </w:tc>
        <w:tc>
          <w:tcPr>
            <w:tcW w:type="dxa" w:w="2422"/>
          </w:tcPr>
          <w:p>
            <w:pPr>
              <w:spacing w:line="240" w:lineRule="auto" w:before="40" w:after="40"/>
              <w:ind w:firstLine="0"/>
            </w:pPr>
            <w:r>
              <w:rPr>
                <w:rFonts w:ascii="Liberation Serif" w:hAnsi="Liberation Serif"/>
                <w:sz w:val="24"/>
              </w:rPr>
              <w:t>8 недель (до конца октября)</w:t>
            </w:r>
          </w:p>
        </w:tc>
      </w:tr>
      <w:tr>
        <w:tc>
          <w:tcPr>
            <w:tcW w:type="dxa" w:w="2422"/>
          </w:tcPr>
          <w:p>
            <w:pPr>
              <w:spacing w:line="240" w:lineRule="auto" w:before="40" w:after="40"/>
              <w:ind w:firstLine="0"/>
            </w:pPr>
            <w:r>
              <w:rPr>
                <w:rFonts w:ascii="Liberation Serif" w:hAnsi="Liberation Serif"/>
                <w:sz w:val="24"/>
              </w:rPr>
              <w:t>6</w:t>
            </w:r>
          </w:p>
        </w:tc>
        <w:tc>
          <w:tcPr>
            <w:tcW w:type="dxa" w:w="2422"/>
          </w:tcPr>
          <w:p>
            <w:pPr>
              <w:spacing w:line="240" w:lineRule="auto" w:before="40" w:after="40"/>
              <w:ind w:firstLine="0"/>
            </w:pPr>
            <w:r>
              <w:rPr>
                <w:rFonts w:ascii="Liberation Serif" w:hAnsi="Liberation Serif"/>
                <w:sz w:val="24"/>
              </w:rPr>
              <w:t>Ремонт помещения, ESD-зона</w:t>
            </w:r>
          </w:p>
        </w:tc>
        <w:tc>
          <w:tcPr>
            <w:tcW w:type="dxa" w:w="2422"/>
          </w:tcPr>
          <w:p>
            <w:pPr>
              <w:spacing w:line="240" w:lineRule="auto" w:before="40" w:after="40"/>
              <w:ind w:firstLine="0"/>
            </w:pPr>
            <w:r>
              <w:rPr>
                <w:rFonts w:ascii="Liberation Serif" w:hAnsi="Liberation Serif"/>
                <w:sz w:val="24"/>
              </w:rPr>
              <w:t>Октябрь 2026</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7</w:t>
            </w:r>
          </w:p>
        </w:tc>
        <w:tc>
          <w:tcPr>
            <w:tcW w:type="dxa" w:w="2422"/>
          </w:tcPr>
          <w:p>
            <w:pPr>
              <w:spacing w:line="240" w:lineRule="auto" w:before="40" w:after="40"/>
              <w:ind w:firstLine="0"/>
            </w:pPr>
            <w:r>
              <w:rPr>
                <w:rFonts w:ascii="Liberation Serif" w:hAnsi="Liberation Serif"/>
                <w:sz w:val="24"/>
              </w:rPr>
              <w:t>Поставка и монтаж оборудования</w:t>
            </w:r>
          </w:p>
        </w:tc>
        <w:tc>
          <w:tcPr>
            <w:tcW w:type="dxa" w:w="2422"/>
          </w:tcPr>
          <w:p>
            <w:pPr>
              <w:spacing w:line="240" w:lineRule="auto" w:before="40" w:after="40"/>
              <w:ind w:firstLine="0"/>
            </w:pPr>
            <w:r>
              <w:rPr>
                <w:rFonts w:ascii="Liberation Serif" w:hAnsi="Liberation Serif"/>
                <w:sz w:val="24"/>
              </w:rPr>
              <w:t>Октябрь–Ноябрь 2026</w:t>
            </w:r>
          </w:p>
        </w:tc>
        <w:tc>
          <w:tcPr>
            <w:tcW w:type="dxa" w:w="2422"/>
          </w:tcPr>
          <w:p>
            <w:pPr>
              <w:spacing w:line="240" w:lineRule="auto" w:before="40" w:after="40"/>
              <w:ind w:firstLine="0"/>
            </w:pPr>
            <w:r>
              <w:rPr>
                <w:rFonts w:ascii="Liberation Serif" w:hAnsi="Liberation Serif"/>
                <w:sz w:val="24"/>
              </w:rPr>
              <w:t>6 недель</w:t>
            </w:r>
          </w:p>
        </w:tc>
      </w:tr>
      <w:tr>
        <w:tc>
          <w:tcPr>
            <w:tcW w:type="dxa" w:w="2422"/>
          </w:tcPr>
          <w:p>
            <w:pPr>
              <w:spacing w:line="240" w:lineRule="auto" w:before="40" w:after="40"/>
              <w:ind w:firstLine="0"/>
            </w:pPr>
            <w:r>
              <w:rPr>
                <w:rFonts w:ascii="Liberation Serif" w:hAnsi="Liberation Serif"/>
                <w:sz w:val="24"/>
              </w:rPr>
              <w:t>8</w:t>
            </w:r>
          </w:p>
        </w:tc>
        <w:tc>
          <w:tcPr>
            <w:tcW w:type="dxa" w:w="2422"/>
          </w:tcPr>
          <w:p>
            <w:pPr>
              <w:spacing w:line="240" w:lineRule="auto" w:before="40" w:after="40"/>
              <w:ind w:firstLine="0"/>
            </w:pPr>
            <w:r>
              <w:rPr>
                <w:rFonts w:ascii="Liberation Serif" w:hAnsi="Liberation Serif"/>
                <w:sz w:val="24"/>
              </w:rPr>
              <w:t>Пусконаладка стенда «СИ-ТДК»</w:t>
            </w:r>
          </w:p>
        </w:tc>
        <w:tc>
          <w:tcPr>
            <w:tcW w:type="dxa" w:w="2422"/>
          </w:tcPr>
          <w:p>
            <w:pPr>
              <w:spacing w:line="240" w:lineRule="auto" w:before="40" w:after="40"/>
              <w:ind w:firstLine="0"/>
            </w:pPr>
            <w:r>
              <w:rPr>
                <w:rFonts w:ascii="Liberation Serif" w:hAnsi="Liberation Serif"/>
                <w:sz w:val="24"/>
              </w:rPr>
              <w:t>Ноябрь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9</w:t>
            </w:r>
          </w:p>
        </w:tc>
        <w:tc>
          <w:tcPr>
            <w:tcW w:type="dxa" w:w="2422"/>
          </w:tcPr>
          <w:p>
            <w:pPr>
              <w:spacing w:line="240" w:lineRule="auto" w:before="40" w:after="40"/>
              <w:ind w:firstLine="0"/>
            </w:pPr>
            <w:r>
              <w:rPr>
                <w:rFonts w:ascii="Liberation Serif" w:hAnsi="Liberation Serif"/>
                <w:sz w:val="24"/>
              </w:rPr>
              <w:t>Настройка АРМ программатора</w:t>
            </w:r>
          </w:p>
        </w:tc>
        <w:tc>
          <w:tcPr>
            <w:tcW w:type="dxa" w:w="2422"/>
          </w:tcPr>
          <w:p>
            <w:pPr>
              <w:spacing w:line="240" w:lineRule="auto" w:before="40" w:after="40"/>
              <w:ind w:firstLine="0"/>
            </w:pPr>
            <w:r>
              <w:rPr>
                <w:rFonts w:ascii="Liberation Serif" w:hAnsi="Liberation Serif"/>
                <w:sz w:val="24"/>
              </w:rPr>
              <w:t>Ноябрь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10</w:t>
            </w:r>
          </w:p>
        </w:tc>
        <w:tc>
          <w:tcPr>
            <w:tcW w:type="dxa" w:w="2422"/>
          </w:tcPr>
          <w:p>
            <w:pPr>
              <w:spacing w:line="240" w:lineRule="auto" w:before="40" w:after="40"/>
              <w:ind w:firstLine="0"/>
            </w:pPr>
            <w:r>
              <w:rPr>
                <w:rFonts w:ascii="Liberation Serif" w:hAnsi="Liberation Serif"/>
                <w:sz w:val="24"/>
              </w:rPr>
              <w:t>Закупка стартовой партии ЭКБ и плат</w:t>
            </w:r>
          </w:p>
        </w:tc>
        <w:tc>
          <w:tcPr>
            <w:tcW w:type="dxa" w:w="2422"/>
          </w:tcPr>
          <w:p>
            <w:pPr>
              <w:spacing w:line="240" w:lineRule="auto" w:before="40" w:after="40"/>
              <w:ind w:firstLine="0"/>
            </w:pPr>
            <w:r>
              <w:rPr>
                <w:rFonts w:ascii="Liberation Serif" w:hAnsi="Liberation Serif"/>
                <w:sz w:val="24"/>
              </w:rPr>
              <w:t>Октябрь–Ноябрь 2026</w:t>
            </w:r>
          </w:p>
        </w:tc>
        <w:tc>
          <w:tcPr>
            <w:tcW w:type="dxa" w:w="2422"/>
          </w:tcPr>
          <w:p>
            <w:pPr>
              <w:spacing w:line="240" w:lineRule="auto" w:before="40" w:after="40"/>
              <w:ind w:firstLine="0"/>
            </w:pPr>
            <w:r>
              <w:rPr>
                <w:rFonts w:ascii="Liberation Serif" w:hAnsi="Liberation Serif"/>
                <w:sz w:val="24"/>
              </w:rPr>
              <w:t>3 недели</w:t>
            </w:r>
          </w:p>
        </w:tc>
      </w:tr>
      <w:tr>
        <w:tc>
          <w:tcPr>
            <w:tcW w:type="dxa" w:w="2422"/>
          </w:tcPr>
          <w:p>
            <w:pPr>
              <w:spacing w:line="240" w:lineRule="auto" w:before="40" w:after="40"/>
              <w:ind w:firstLine="0"/>
            </w:pPr>
            <w:r>
              <w:rPr>
                <w:rFonts w:ascii="Liberation Serif" w:hAnsi="Liberation Serif"/>
                <w:sz w:val="24"/>
              </w:rPr>
              <w:t>11</w:t>
            </w:r>
          </w:p>
        </w:tc>
        <w:tc>
          <w:tcPr>
            <w:tcW w:type="dxa" w:w="2422"/>
          </w:tcPr>
          <w:p>
            <w:pPr>
              <w:spacing w:line="240" w:lineRule="auto" w:before="40" w:after="40"/>
              <w:ind w:firstLine="0"/>
            </w:pPr>
            <w:r>
              <w:rPr>
                <w:rFonts w:ascii="Liberation Serif" w:hAnsi="Liberation Serif"/>
                <w:sz w:val="24"/>
              </w:rPr>
              <w:t>Найм и обучение персонала</w:t>
            </w:r>
          </w:p>
        </w:tc>
        <w:tc>
          <w:tcPr>
            <w:tcW w:type="dxa" w:w="2422"/>
          </w:tcPr>
          <w:p>
            <w:pPr>
              <w:spacing w:line="240" w:lineRule="auto" w:before="40" w:after="40"/>
              <w:ind w:firstLine="0"/>
            </w:pPr>
            <w:r>
              <w:rPr>
                <w:rFonts w:ascii="Liberation Serif" w:hAnsi="Liberation Serif"/>
                <w:sz w:val="24"/>
              </w:rPr>
              <w:t>Декабрь 2026</w:t>
            </w:r>
          </w:p>
        </w:tc>
        <w:tc>
          <w:tcPr>
            <w:tcW w:type="dxa" w:w="2422"/>
          </w:tcPr>
          <w:p>
            <w:pPr>
              <w:spacing w:line="240" w:lineRule="auto" w:before="40" w:after="40"/>
              <w:ind w:firstLine="0"/>
            </w:pPr>
            <w:r>
              <w:rPr>
                <w:rFonts w:ascii="Liberation Serif" w:hAnsi="Liberation Serif"/>
                <w:sz w:val="24"/>
              </w:rPr>
              <w:t>2 недели</w:t>
            </w:r>
          </w:p>
        </w:tc>
      </w:tr>
      <w:tr>
        <w:tc>
          <w:tcPr>
            <w:tcW w:type="dxa" w:w="2422"/>
          </w:tcPr>
          <w:p>
            <w:pPr>
              <w:spacing w:line="240" w:lineRule="auto" w:before="40" w:after="40"/>
              <w:ind w:firstLine="0"/>
            </w:pPr>
            <w:r>
              <w:rPr>
                <w:rFonts w:ascii="Liberation Serif" w:hAnsi="Liberation Serif"/>
                <w:sz w:val="24"/>
              </w:rPr>
              <w:t>12</w:t>
            </w:r>
          </w:p>
        </w:tc>
        <w:tc>
          <w:tcPr>
            <w:tcW w:type="dxa" w:w="2422"/>
          </w:tcPr>
          <w:p>
            <w:pPr>
              <w:spacing w:line="240" w:lineRule="auto" w:before="40" w:after="40"/>
              <w:ind w:firstLine="0"/>
            </w:pPr>
            <w:r>
              <w:rPr>
                <w:rFonts w:ascii="Liberation Serif" w:hAnsi="Liberation Serif"/>
                <w:sz w:val="24"/>
              </w:rPr>
              <w:t>Сборка пробной партии (50 шт.)</w:t>
            </w:r>
          </w:p>
        </w:tc>
        <w:tc>
          <w:tcPr>
            <w:tcW w:type="dxa" w:w="2422"/>
          </w:tcPr>
          <w:p>
            <w:pPr>
              <w:spacing w:line="240" w:lineRule="auto" w:before="40" w:after="40"/>
              <w:ind w:firstLine="0"/>
            </w:pPr>
            <w:r>
              <w:rPr>
                <w:rFonts w:ascii="Liberation Serif" w:hAnsi="Liberation Serif"/>
                <w:sz w:val="24"/>
              </w:rPr>
              <w:t>Декабрь 2026</w:t>
            </w:r>
          </w:p>
        </w:tc>
        <w:tc>
          <w:tcPr>
            <w:tcW w:type="dxa" w:w="2422"/>
          </w:tcPr>
          <w:p>
            <w:pPr>
              <w:spacing w:line="240" w:lineRule="auto" w:before="40" w:after="40"/>
              <w:ind w:firstLine="0"/>
            </w:pPr>
            <w:r>
              <w:rPr>
                <w:rFonts w:ascii="Liberation Serif" w:hAnsi="Liberation Serif"/>
                <w:sz w:val="24"/>
              </w:rPr>
              <w:t>1 неделя</w:t>
            </w:r>
          </w:p>
        </w:tc>
      </w:tr>
      <w:tr>
        <w:tc>
          <w:tcPr>
            <w:tcW w:type="dxa" w:w="2422"/>
          </w:tcPr>
          <w:p>
            <w:pPr>
              <w:spacing w:line="240" w:lineRule="auto" w:before="40" w:after="40"/>
              <w:ind w:firstLine="0"/>
            </w:pPr>
            <w:r>
              <w:rPr>
                <w:rFonts w:ascii="Liberation Serif" w:hAnsi="Liberation Serif"/>
                <w:sz w:val="24"/>
              </w:rPr>
              <w:t>13</w:t>
            </w:r>
          </w:p>
        </w:tc>
        <w:tc>
          <w:tcPr>
            <w:tcW w:type="dxa" w:w="2422"/>
          </w:tcPr>
          <w:p>
            <w:pPr>
              <w:spacing w:line="240" w:lineRule="auto" w:before="40" w:after="40"/>
              <w:ind w:firstLine="0"/>
            </w:pPr>
            <w:r>
              <w:rPr>
                <w:rFonts w:ascii="Liberation Serif" w:hAnsi="Liberation Serif"/>
                <w:sz w:val="24"/>
              </w:rPr>
              <w:t>Сертификация по ТР ЕАЭС 043/2017</w:t>
            </w:r>
          </w:p>
        </w:tc>
        <w:tc>
          <w:tcPr>
            <w:tcW w:type="dxa" w:w="2422"/>
          </w:tcPr>
          <w:p>
            <w:pPr>
              <w:spacing w:line="240" w:lineRule="auto" w:before="40" w:after="40"/>
              <w:ind w:firstLine="0"/>
            </w:pPr>
            <w:r>
              <w:rPr>
                <w:rFonts w:ascii="Liberation Serif" w:hAnsi="Liberation Serif"/>
                <w:sz w:val="24"/>
              </w:rPr>
              <w:t>Декабрь 2026 – Январь 2027</w:t>
            </w:r>
          </w:p>
        </w:tc>
        <w:tc>
          <w:tcPr>
            <w:tcW w:type="dxa" w:w="2422"/>
          </w:tcPr>
          <w:p>
            <w:pPr>
              <w:spacing w:line="240" w:lineRule="auto" w:before="40" w:after="40"/>
              <w:ind w:firstLine="0"/>
            </w:pPr>
            <w:r>
              <w:rPr>
                <w:rFonts w:ascii="Liberation Serif" w:hAnsi="Liberation Serif"/>
                <w:sz w:val="24"/>
              </w:rPr>
              <w:t>4 недели</w:t>
            </w:r>
          </w:p>
        </w:tc>
      </w:tr>
      <w:tr>
        <w:tc>
          <w:tcPr>
            <w:tcW w:type="dxa" w:w="2422"/>
          </w:tcPr>
          <w:p>
            <w:pPr>
              <w:spacing w:line="240" w:lineRule="auto" w:before="40" w:after="40"/>
              <w:ind w:firstLine="0"/>
            </w:pPr>
            <w:r>
              <w:rPr>
                <w:rFonts w:ascii="Liberation Serif" w:hAnsi="Liberation Serif"/>
                <w:sz w:val="24"/>
              </w:rPr>
              <w:t>14</w:t>
            </w:r>
          </w:p>
        </w:tc>
        <w:tc>
          <w:tcPr>
            <w:tcW w:type="dxa" w:w="2422"/>
          </w:tcPr>
          <w:p>
            <w:pPr>
              <w:spacing w:line="240" w:lineRule="auto" w:before="40" w:after="40"/>
              <w:ind w:firstLine="0"/>
            </w:pPr>
            <w:r>
              <w:rPr>
                <w:rFonts w:ascii="Liberation Serif" w:hAnsi="Liberation Serif"/>
                <w:sz w:val="24"/>
              </w:rPr>
              <w:t>Запуск серийного производства</w:t>
            </w:r>
          </w:p>
        </w:tc>
        <w:tc>
          <w:tcPr>
            <w:tcW w:type="dxa" w:w="2422"/>
          </w:tcPr>
          <w:p>
            <w:pPr>
              <w:spacing w:line="240" w:lineRule="auto" w:before="40" w:after="40"/>
              <w:ind w:firstLine="0"/>
            </w:pPr>
            <w:r>
              <w:rPr>
                <w:rFonts w:ascii="Liberation Serif" w:hAnsi="Liberation Serif"/>
                <w:sz w:val="24"/>
              </w:rPr>
              <w:t>1 января 2027</w:t>
            </w:r>
          </w:p>
        </w:tc>
        <w:tc>
          <w:tcPr>
            <w:tcW w:type="dxa" w:w="2422"/>
          </w:tcPr>
          <w:p>
            <w:pPr>
              <w:spacing w:line="240" w:lineRule="auto" w:before="40" w:after="40"/>
              <w:ind w:firstLine="0"/>
            </w:pPr>
            <w:r>
              <w:rPr>
                <w:rFonts w:ascii="Liberation Serif" w:hAnsi="Liberation Serif"/>
                <w:sz w:val="24"/>
              </w:rPr>
              <w:t>—</w:t>
            </w:r>
          </w:p>
        </w:tc>
      </w:tr>
    </w:tbl>
    <w:p>
      <w:r>
        <w:t>Таким образом, общая продолжительность инвестиционной фазы проекта составляет 4 месяца (с 1 сентября по 31 декабря 2026 года). Запуск серийного 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 Критическим путём проекта является цепочка: заказ пресс-формы (8 недель) → получение корпусов → сборка пробной партии → подача на сертификацию. Любая задержка на данном пути прямо влияет на дату начала коммерческой реализации.</w:t>
      </w:r>
    </w:p>
    <w:p>
      <w:pPr>
        <w:pStyle w:val="Heading2"/>
      </w:pPr>
      <w:r>
        <w:t>3.3 Управление качеством</w:t>
      </w:r>
    </w:p>
    <w:p>
      <w:r>
        <w:t>Выпуск комбинированных пожарных извещателей, предназначенных для эксплуатации в системах противопожарной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предприятии внедряется система тотального управления качеством, основанная на принципе 100% автоматизированного инструментального контроля каждой единицы выпускаемой продукции.</w:t>
      </w:r>
    </w:p>
    <w:p>
      <w:r>
        <w:t>Данный подход принципиально отличается от статистического выборочного контроля (по ГОСТ Р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«СИ-ТДК», что полностью исключает попадание брака в отгрузочную партию и является ключевым уникальным торговым предложением ООО «СигналПром» на рынке B2B-продаж монтажным организациям.</w:t>
      </w:r>
    </w:p>
    <w:p>
      <w:r>
        <w:t>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 автоматизированное тестирование на стенде «СИ-ТДК», маркировка и сериализация, упаковка и складирование.</w:t>
      </w:r>
    </w:p>
    <w:p>
      <w:r>
        <w:t>[МЕСТО ДЛЯ БЛОК-СХЕМЫ: Технологический процесс сборки и контроля качества]</w:t>
      </w:r>
    </w:p>
    <w:p>
      <w:pPr>
        <w:pStyle w:val="FigureCaption"/>
      </w:pPr>
      <w:r>
        <w:t>Рисунок 3 – Блок-схема технологического процесса сборки и контроля качества комбинированного извещателя</w:t>
      </w:r>
    </w:p>
    <w:p>
      <w:r>
        <w:t>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поставщику по рекламации. Пластиковые корпуса проверяются на отсутствие деформаций, сколов и целостность воздухозаборных щелей дымовой камеры.</w:t>
      </w:r>
    </w:p>
    <w:p>
      <w:r>
        <w:t>Этап 2. Ручной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Quick 203H ESD и дымоуловителем DUET FE-250-2-А:</w:t>
      </w:r>
    </w:p>
    <w:p>
      <w:pPr>
        <w:ind w:firstLine="709"/>
      </w:pPr>
      <w:r>
        <w:t>– впаивание выводных оптических компонентов — ИК-излучателя Kingbright L-34F3C и фототранзистора Lite-On LTR-301 — в посадочные места на печатной плате с соблюдением температурного профиля пайки (температура жала 350 °C, время контакта не более 3 секунд);</w:t>
      </w:r>
    </w:p>
    <w:p>
      <w:pPr>
        <w:ind w:firstLine="709"/>
      </w:pPr>
      <w:r>
        <w:t>– впаивание NTC-термистора Murata NCP18XH103F03RB (выводной вариант для THT-монтажа, если не установлен на SMT-этапе);</w:t>
      </w:r>
    </w:p>
    <w:p>
      <w:pPr>
        <w:ind w:firstLine="709"/>
      </w:pPr>
      <w:r>
        <w:t>– установка оптического лабиринта (дымовой камеры) на печатную плату и фиксация защёлками;</w:t>
      </w:r>
    </w:p>
    <w:p>
      <w:pPr>
        <w:ind w:firstLine="709"/>
      </w:pPr>
      <w:r>
        <w:t>– механическая сборка: защёлкивание платы с лабиринтом в нижнюю часть пластикового корпуса, установка верхней крышки;</w:t>
      </w:r>
    </w:p>
    <w:p>
      <w:pPr>
        <w:ind w:firstLine="709"/>
      </w:pPr>
      <w:r>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r>
        <w:t>Среднее время выполнения этапа 2 составляет 12–15 минут на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r>
        <w:t>Этап 3. Программирование (прошивка) микроконтроллера. Собранное изделие подключается к автоматизированному рабочему месту (АРМ) программатора через интерфейс SWD (Serial Wire Debug) посредством аппаратного программатора WCH-LinkE. Процедура прошивки полностью автоматизирована: скрипт среды разработки MounRiver Studio последовательно выполняет стирание памяти микроконтроллера CH32V003F4P6, запись бинарного файла встроенного программного обеспечения (firmware), верификацию контрольной суммы (CRC-32) и присвоение уникального серийного номера изделия. Результат операции (успех или ошибка) автоматически регистрируется в базе данных MES-системы. Время прошивки одного изделия — менее 30 секунд. При использовании группового программатора (до 4 изделий одновременно) производительность этапа не является узким местом технологического процесса.</w:t>
      </w:r>
    </w:p>
    <w:p>
      <w:r>
        <w:t>Этап 4. Автоматизированное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r>
        <w:t>Комбинированный стенд «СИ-ТДК» предназначен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испытаний комбинированного извещателя на одной установке без перемещения изделия между различными стендами.</w:t>
      </w:r>
    </w:p>
    <w:p>
      <w:r>
        <w:t>Алгоритм автоматизированного тестирования дымового канала реализуется следующим образом. Техник ОТК размещает партию собранных и запрограммированных извещателей (до 10 единиц одновременно) в оснастку стенда. После герметизации измерительной зоны автоматика стенда выполняет последовательность операций:</w:t>
      </w:r>
    </w:p>
    <w:p>
      <w:pPr>
        <w:ind w:firstLine="709"/>
      </w:pPr>
      <w:r>
        <w:t>– запуск вентиляторов и стабилизация ламинарного воздушного потока на скорости 0,20 ± 0,04 м/с (в соответствии с требованиями Приложения Д ГОСТ Р 53325-2024);</w:t>
      </w:r>
    </w:p>
    <w:p>
      <w:pPr>
        <w:ind w:firstLine="709"/>
      </w:pPr>
      <w:r>
        <w:t>– активация генератора тестового аэрозоля и дозированная подача стандартизированного имитатора дыма с контролируемым нарастанием оптической плотности;</w:t>
      </w:r>
    </w:p>
    <w:p>
      <w:pPr>
        <w:ind w:firstLine="709"/>
      </w:pPr>
      <w:r>
        <w:t>– плавное увеличение удельной оптической плотности среды с градиентной скоростью от 0,015 до 0,1 дБ/м в минуту до достижения порога срабатывания;</w:t>
      </w:r>
    </w:p>
    <w:p>
      <w:pPr>
        <w:ind w:firstLine="709"/>
      </w:pPr>
      <w:r>
        <w:t>– регистрация момента срабатывания каждого извещателя по цифровому интерфейсу (RS-485 или двухпроводная адресная линия) с фиксацией значения оптической плотности в момент перехода в состояние «Пожар»;</w:t>
      </w:r>
    </w:p>
    <w:p>
      <w:pPr>
        <w:ind w:firstLine="709"/>
      </w:pPr>
      <w:r>
        <w:t>– сравнение зафиксированного порога срабатывания с нормативным коридором (от 0,05 до 0,20 дБ/м для извещателей класса чувствительности, определённого техническими условиями);</w:t>
      </w:r>
    </w:p>
    <w:p>
      <w:pPr>
        <w:ind w:firstLine="709"/>
      </w:pPr>
      <w:r>
        <w:t>– автоматическое проветривание измерительной зоны до прозрачности воздуха менее 0,02 дБ/м.</w:t>
      </w:r>
    </w:p>
    <w:p>
      <w:r>
        <w:t>Алгоритм тестирования теплового канала реализуется в термокамере того же стенда «СИ-ТДК». Автоматика стенда осуществляет нагрев воздушной среды с заданным температурным градиентом (от 5 до 30 °C в минуту), имитируя условия развития реального пожара. Микроконтроллер CH32V003 каждого тестируемого извещателя анализирует данные с NTC-термистора Murata NCP18 и должен корректно отработать дифференциальный градиент, сформировав сигнал тревоги по цифровой шине. Далее камера переходит в режим тестирования абсолютного максимального порога, плавно повышая температуру до статических значений класса извещателя (от +54 °C до +70 °C для класса A2R). Извещатели, успешно и своевременно подавшие сигнал «Пожар» в обоих термических режимах (дифференциальном и максимальном), проходят тепловой тест.</w:t>
      </w:r>
    </w:p>
    <w:p>
      <w:r>
        <w:t>По завершении полного цикла испытаний (дымовой канал + тепловой канал) стенд автоматически формирует цифровой протокол для каждого серийного номера, содержащий: значение оптической плотности при срабатывании дымового канала; температуру и временнýю задержку срабатывания теплового канала; результаты проверки при пониженном и повышенном напряжении питания. Протокол передаётся в MES-систему предприятия.</w:t>
      </w:r>
    </w:p>
    <w:p>
      <w:r>
        <w:t>Дополнительно на предприятии эксплуатируется климатическая камера «Тепло-Влага ПРО КТВ 0/130-120 silent», предназначенная для проведения расширенных квалификационных (типовых) испытаний. В отличие от стенда «СИ-ТДК», используемого для 100% приёмо-сдаточного контроля, климатическая камера применяется для периодических испытаний выборки из серийной партии на устойчивость к воздействию повышенной влажности (до 98%), циклическим перепадам температур (от 0 до +130 °C) и длительному термостарению. Результаты квалификационных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r>
        <w:t>Этап 5. Сериализация, маркировка и блокировка брака. MES-система предприятия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pPr>
        <w:ind w:firstLine="709"/>
      </w:pPr>
      <w:r>
        <w:t>– если цифровой профиль изделия содержит положительные результаты по ВСЕМ тестам (дымовой канал, тепловой дифференциальный, тепловой максимальный, напряжение питания), MES-система формирует команду термотрансферному принтеру Godex RT230 на печать самоклеящейся полимерной этикетки с уникальным серийным номером, датой выпуска, DataMatrix-кодом и единым знаком обращения продукции на рынке (ЕАС);</w:t>
      </w:r>
    </w:p>
    <w:p>
      <w:pPr>
        <w:ind w:firstLine="709"/>
      </w:pPr>
      <w:r>
        <w:t>– если хотя бы ОДИН параметр выходит за пределы допуска, MES-система аппаратно БЛОКИРУЕТ принтер (физически исключая возможность нанесения этикетки на бракованное изделие) и переводит запись в электронный журнал изолятора брака с указанием причины отбраковки;</w:t>
      </w:r>
    </w:p>
    <w:p>
      <w:pPr>
        <w:ind w:firstLine="709"/>
      </w:pPr>
      <w:r>
        <w:t>– бракованные изделия изымаются из производственного потока, маркируются красным стикером и направляются на участок анализа дефектов для выявления причины и корректирующих действий.</w:t>
      </w:r>
    </w:p>
    <w:p>
      <w:r>
        <w:t>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этикетки с DataMatrix-кодом изделие не может быть учтено в системе складского хранения и не подлежит отгрузке заказчику.</w:t>
      </w:r>
    </w:p>
    <w:p>
      <w:r>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(СДЭК, «Деловые Линии»).</w:t>
      </w:r>
    </w:p>
    <w:p>
      <w:r>
        <w:t>Внедрение описанной системы автоматизированного контроля качества обеспечивает достижение следующих технико-экономических эффектов:</w:t>
      </w:r>
    </w:p>
    <w:p>
      <w:pPr>
        <w:ind w:firstLine="709"/>
      </w:pPr>
      <w:r>
        <w:t>– гарантированное отсутствие скрытого производственного брака в отгружаемой продукции (уровень дефектности менее 0,1% за счёт 100% выходного контроля);</w:t>
      </w:r>
    </w:p>
    <w:p>
      <w:pPr>
        <w:ind w:firstLine="709"/>
      </w:pPr>
      <w:r>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pPr>
        <w:ind w:firstLine="709"/>
      </w:pPr>
      <w:r>
        <w:t>– объективное документальное подтверждение качества для заказчиков — монтажных организаций (цифровой паспорт испытаний по запросу);</w:t>
      </w:r>
    </w:p>
    <w:p>
      <w:pPr>
        <w:ind w:firstLine="709"/>
      </w:pPr>
      <w:r>
        <w:t>– снижение расходов на гарантийное обслуживание и рекламации до минимума;</w:t>
      </w:r>
    </w:p>
    <w:p>
      <w:pPr>
        <w:ind w:firstLine="709"/>
      </w:pPr>
      <w:r>
        <w:t>– соответствие требованиям ГОСТ Р 53325-2024 по электромагнитной совместимости и устойчивости к воздействию повышенной температуры;</w:t>
      </w:r>
    </w:p>
    <w:p>
      <w:pPr>
        <w:ind w:firstLine="709"/>
      </w:pPr>
      <w:r>
        <w:t>– формирование конкурентного преимущества перед производителями, применяющими статистический выборочный контроль.</w:t>
      </w:r>
    </w:p>
    <w:p>
      <w:r>
        <w:t>Таким образом, система управления качеством на предприятии ООО «СигналПром»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программно-аппаратной блокировкой выпуска брака. Данный подход соответствует направлению 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p w14:paraId="17BE18F0" w14:textId="77777777" w:rsidR="001F7619" w:rsidRPr="00BE6C3C" w:rsidRDefault="00474AB9">
      <w:pPr>
        <w:pStyle w:val="21"/>
        <w:rPr>
          <w:lang w:val="ru-RU"/>
        </w:rPr>
      </w:pPr>
      <w:r w:rsidRPr="00BE6C3C">
        <w:rPr>
          <w:lang w:val="ru-RU"/>
        </w:rPr>
        <w:t xml:space="preserve">3.4 Внесение данных в </w:t>
      </w:r>
      <w:r>
        <w:t>Project</w:t>
      </w:r>
      <w:r w:rsidRPr="00BE6C3C">
        <w:rPr>
          <w:lang w:val="ru-RU"/>
        </w:rPr>
        <w:t xml:space="preserve"> </w:t>
      </w:r>
      <w:r>
        <w:t>Expert</w:t>
      </w:r>
    </w:p>
    <w:p w14:paraId="72CF668F" w14:textId="77777777" w:rsidR="001F7619" w:rsidRPr="00BE6C3C" w:rsidRDefault="00474AB9">
      <w:pPr>
        <w:rPr>
          <w:lang w:val="ru-RU"/>
        </w:rPr>
      </w:pPr>
      <w:r w:rsidRPr="00BE6C3C">
        <w:rPr>
          <w:lang w:val="ru-RU"/>
        </w:rPr>
        <w:t xml:space="preserve">В данной выпускной квалификационной работе финансовое моделирование инвестиционного проекта осуществляется с использованием специализированной программы </w:t>
      </w:r>
      <w:r>
        <w:t>Project</w:t>
      </w:r>
      <w:r w:rsidRPr="00BE6C3C">
        <w:rPr>
          <w:lang w:val="ru-RU"/>
        </w:rPr>
        <w:t xml:space="preserve"> </w:t>
      </w:r>
      <w:r>
        <w:t>Expert</w:t>
      </w:r>
      <w:r w:rsidRPr="00BE6C3C">
        <w:rPr>
          <w:lang w:val="ru-RU"/>
        </w:rPr>
        <w:t xml:space="preserve"> 6 </w:t>
      </w:r>
      <w:r>
        <w:t>Holding</w:t>
      </w:r>
      <w:r w:rsidRPr="00BE6C3C">
        <w:rPr>
          <w:lang w:val="ru-RU"/>
        </w:rPr>
        <w:t xml:space="preserve">. Программа обладает логичным и </w:t>
      </w:r>
      <w:r w:rsidRPr="00BE6C3C">
        <w:rPr>
          <w:lang w:val="ru-RU"/>
        </w:rPr>
        <w:t>удобным интерфейсом, состоящим из тематических разделов, каждый из которых соответствует определённой стадии разработки и оценки проекта. Ввод информации происходит посредством интерактивных форм с разветвлённой системой полей и параметров.</w:t>
      </w:r>
    </w:p>
    <w:p w14:paraId="199E5EB5" w14:textId="77777777" w:rsidR="001F7619" w:rsidRPr="00BE6C3C" w:rsidRDefault="00474AB9">
      <w:pPr>
        <w:rPr>
          <w:lang w:val="ru-RU"/>
        </w:rPr>
      </w:pPr>
      <w:r w:rsidRPr="00BE6C3C">
        <w:rPr>
          <w:lang w:val="ru-RU"/>
        </w:rPr>
        <w:t>Все аналитическ</w:t>
      </w:r>
      <w:r w:rsidRPr="00BE6C3C">
        <w:rPr>
          <w:lang w:val="ru-RU"/>
        </w:rPr>
        <w:t xml:space="preserve">ие отчёты и прогнозы формируются на основе загруженных в систему исходных данных. Для комплексного бизнес-планирования в </w:t>
      </w:r>
      <w:r>
        <w:t>Project</w:t>
      </w:r>
      <w:r w:rsidRPr="00BE6C3C">
        <w:rPr>
          <w:lang w:val="ru-RU"/>
        </w:rPr>
        <w:t xml:space="preserve"> </w:t>
      </w:r>
      <w:r>
        <w:t>Expert</w:t>
      </w:r>
      <w:r w:rsidRPr="00BE6C3C">
        <w:rPr>
          <w:lang w:val="ru-RU"/>
        </w:rPr>
        <w:t xml:space="preserve"> требуется последовательное выполнение следующих действий:</w:t>
      </w:r>
    </w:p>
    <w:p w14:paraId="6BA408D0" w14:textId="77777777" w:rsidR="001F7619" w:rsidRPr="00BE6C3C" w:rsidRDefault="00474AB9">
      <w:pPr>
        <w:rPr>
          <w:lang w:val="ru-RU"/>
        </w:rPr>
      </w:pPr>
      <w:r w:rsidRPr="00BE6C3C">
        <w:rPr>
          <w:lang w:val="ru-RU"/>
        </w:rPr>
        <w:t xml:space="preserve">– заполнение основных параметров проекта: настройка расчётных </w:t>
      </w:r>
      <w:r w:rsidRPr="00BE6C3C">
        <w:rPr>
          <w:lang w:val="ru-RU"/>
        </w:rPr>
        <w:t>модулей, указание номенклатуры продукции, установление единиц измерения и сроков выхода на рынок;</w:t>
      </w:r>
    </w:p>
    <w:p w14:paraId="0EF30336" w14:textId="77777777" w:rsidR="001F7619" w:rsidRPr="00BE6C3C" w:rsidRDefault="00474AB9">
      <w:pPr>
        <w:rPr>
          <w:lang w:val="ru-RU"/>
        </w:rPr>
      </w:pPr>
      <w:r w:rsidRPr="00BE6C3C">
        <w:rPr>
          <w:lang w:val="ru-RU"/>
        </w:rPr>
        <w:t>– формирование макроэкономических условий: выбор валютных курсов, определение процентных ставок, прогнозирование инфляции по основным статьям бюджета, а также</w:t>
      </w:r>
      <w:r w:rsidRPr="00BE6C3C">
        <w:rPr>
          <w:lang w:val="ru-RU"/>
        </w:rPr>
        <w:t xml:space="preserve"> учёт налогового режима;</w:t>
      </w:r>
    </w:p>
    <w:p w14:paraId="1BCED49C" w14:textId="77777777" w:rsidR="001F7619" w:rsidRPr="00BE6C3C" w:rsidRDefault="00474AB9">
      <w:pPr>
        <w:rPr>
          <w:lang w:val="ru-RU"/>
        </w:rPr>
      </w:pPr>
      <w:r w:rsidRPr="00BE6C3C">
        <w:rPr>
          <w:lang w:val="ru-RU"/>
        </w:rPr>
        <w:t>– построение графика реализации проекта с разбивкой на фазы, указанием их взаимозависимостей, регистрацией активов предприятия и способов их амортизации;</w:t>
      </w:r>
    </w:p>
    <w:p w14:paraId="68BF1BAB" w14:textId="77777777" w:rsidR="001F7619" w:rsidRPr="00BE6C3C" w:rsidRDefault="00474AB9">
      <w:pPr>
        <w:rPr>
          <w:lang w:val="ru-RU"/>
        </w:rPr>
      </w:pPr>
      <w:r w:rsidRPr="00BE6C3C">
        <w:rPr>
          <w:lang w:val="ru-RU"/>
        </w:rPr>
        <w:t>– формирование производственного плана с внесением информации о плановых объё</w:t>
      </w:r>
      <w:r w:rsidRPr="00BE6C3C">
        <w:rPr>
          <w:lang w:val="ru-RU"/>
        </w:rPr>
        <w:t>мах сбыта и операционных издержках;</w:t>
      </w:r>
    </w:p>
    <w:p w14:paraId="06955567" w14:textId="77777777" w:rsidR="001F7619" w:rsidRPr="00BE6C3C" w:rsidRDefault="00474AB9">
      <w:pPr>
        <w:rPr>
          <w:lang w:val="ru-RU"/>
        </w:rPr>
      </w:pPr>
      <w:r w:rsidRPr="00BE6C3C">
        <w:rPr>
          <w:lang w:val="ru-RU"/>
        </w:rPr>
        <w:t>– подготовка инвестиционного раздела с проработкой схем привлечения капитала и графиком погашения заёмных средств.</w:t>
      </w:r>
    </w:p>
    <w:p w14:paraId="29FA0193" w14:textId="77777777" w:rsidR="001F7619" w:rsidRPr="00BE6C3C" w:rsidRDefault="00474AB9">
      <w:pPr>
        <w:pStyle w:val="31"/>
        <w:rPr>
          <w:lang w:val="ru-RU"/>
        </w:rPr>
      </w:pPr>
      <w:r w:rsidRPr="00BE6C3C">
        <w:rPr>
          <w:lang w:val="ru-RU"/>
        </w:rPr>
        <w:lastRenderedPageBreak/>
        <w:t>3.4.1 Ввод данных</w:t>
      </w:r>
    </w:p>
    <w:p w14:paraId="771B1DDF" w14:textId="77777777" w:rsidR="001F7619" w:rsidRPr="00BE6C3C" w:rsidRDefault="00474AB9">
      <w:pPr>
        <w:rPr>
          <w:lang w:val="ru-RU"/>
        </w:rPr>
      </w:pPr>
      <w:r w:rsidRPr="00BE6C3C">
        <w:rPr>
          <w:lang w:val="ru-RU"/>
        </w:rPr>
        <w:t>Исходные данные вносятся через функциональные модули, расположенные в разделе «Проект».</w:t>
      </w:r>
      <w:r w:rsidRPr="00BE6C3C">
        <w:rPr>
          <w:lang w:val="ru-RU"/>
        </w:rPr>
        <w:t xml:space="preserve"> В модуле «Заголовок» отображаются ключевые параметры проекта, указанные при его инициализации:</w:t>
      </w:r>
    </w:p>
    <w:p w14:paraId="6655DA10" w14:textId="77777777" w:rsidR="001F7619" w:rsidRPr="00BE6C3C" w:rsidRDefault="00474AB9">
      <w:pPr>
        <w:rPr>
          <w:lang w:val="ru-RU"/>
        </w:rPr>
      </w:pPr>
      <w:r w:rsidRPr="00BE6C3C">
        <w:rPr>
          <w:lang w:val="ru-RU"/>
        </w:rPr>
        <w:t>– название проекта – ООО «</w:t>
      </w:r>
      <w:proofErr w:type="spellStart"/>
      <w:r w:rsidRPr="00BE6C3C">
        <w:rPr>
          <w:lang w:val="ru-RU"/>
        </w:rPr>
        <w:t>СигналПром</w:t>
      </w:r>
      <w:proofErr w:type="spellEnd"/>
      <w:r w:rsidRPr="00BE6C3C">
        <w:rPr>
          <w:lang w:val="ru-RU"/>
        </w:rPr>
        <w:t>»;</w:t>
      </w:r>
    </w:p>
    <w:p w14:paraId="069B80F1" w14:textId="77777777" w:rsidR="001F7619" w:rsidRPr="00BE6C3C" w:rsidRDefault="00474AB9">
      <w:pPr>
        <w:rPr>
          <w:lang w:val="ru-RU"/>
        </w:rPr>
      </w:pPr>
      <w:r w:rsidRPr="00BE6C3C">
        <w:rPr>
          <w:lang w:val="ru-RU"/>
        </w:rPr>
        <w:t>– дата старта – 1 сентября 2026 года;</w:t>
      </w:r>
    </w:p>
    <w:p w14:paraId="16AE4AF6" w14:textId="77777777" w:rsidR="001F7619" w:rsidRPr="00BE6C3C" w:rsidRDefault="00474AB9">
      <w:pPr>
        <w:rPr>
          <w:lang w:val="ru-RU"/>
        </w:rPr>
      </w:pPr>
      <w:r w:rsidRPr="00BE6C3C">
        <w:rPr>
          <w:lang w:val="ru-RU"/>
        </w:rPr>
        <w:t>– срок реализации – 3 года (36 месяцев).</w:t>
      </w:r>
    </w:p>
    <w:p w14:paraId="02F5ADA7" w14:textId="77777777" w:rsidR="00BE6C3C" w:rsidRDefault="00BE6C3C">
      <w:pPr>
        <w:pStyle w:val="FC"/>
      </w:pPr>
      <w:r w:rsidRPr="00BE6C3C">
        <w:rPr>
          <w:rFonts w:cs="Liberation Serif"/>
          <w:color w:val="000000"/>
          <w:sz w:val="28"/>
        </w:rPr>
        <w:drawing>
          <wp:inline distT="0" distB="0" distL="0" distR="0" wp14:anchorId="7F6DBBF2" wp14:editId="2FD02674">
            <wp:extent cx="3896269" cy="3305636"/>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96269" cy="3305636"/>
                    </a:xfrm>
                    <a:prstGeom prst="rect">
                      <a:avLst/>
                    </a:prstGeom>
                  </pic:spPr>
                </pic:pic>
              </a:graphicData>
            </a:graphic>
          </wp:inline>
        </w:drawing>
      </w:r>
    </w:p>
    <w:p w14:paraId="0975D53B" w14:textId="5F600D93" w:rsidR="001F7619" w:rsidRPr="00BE6C3C" w:rsidRDefault="00474AB9">
      <w:pPr>
        <w:pStyle w:val="FC"/>
        <w:rPr>
          <w:lang w:val="ru-RU"/>
        </w:rPr>
      </w:pPr>
      <w:r w:rsidRPr="00BE6C3C">
        <w:rPr>
          <w:lang w:val="ru-RU"/>
        </w:rPr>
        <w:t xml:space="preserve">Рисунок </w:t>
      </w:r>
      <w:r w:rsidRPr="00BE6C3C">
        <w:rPr>
          <w:lang w:val="ru-RU"/>
        </w:rPr>
        <w:t>4 – Модуль «Заголовок проекта»</w:t>
      </w:r>
    </w:p>
    <w:p w14:paraId="0881E851" w14:textId="77777777" w:rsidR="001F7619" w:rsidRPr="00BE6C3C" w:rsidRDefault="00474AB9">
      <w:pPr>
        <w:rPr>
          <w:lang w:val="ru-RU"/>
        </w:rPr>
      </w:pPr>
      <w:r w:rsidRPr="00BE6C3C">
        <w:rPr>
          <w:lang w:val="ru-RU"/>
        </w:rPr>
        <w:t xml:space="preserve">Модуль «Список продуктов» содержит перечень выпускаемой продукции и оказываемых услуг, запланированных к реализации на предприятии, а также график начала их коммерческой реализации. Дата начала продаж установлена на 1 января </w:t>
      </w:r>
      <w:r w:rsidRPr="00BE6C3C">
        <w:rPr>
          <w:lang w:val="ru-RU"/>
        </w:rPr>
        <w:t>2027 года – после завершения инвестиционной фазы проекта (сентябрь–декабрь 2026).</w:t>
      </w:r>
    </w:p>
    <w:p w14:paraId="7ABA2185" w14:textId="16ECCB3D" w:rsidR="001F7619" w:rsidRPr="00BE6C3C" w:rsidRDefault="00BE6C3C">
      <w:pPr>
        <w:ind w:firstLine="0"/>
        <w:jc w:val="center"/>
        <w:rPr>
          <w:lang w:val="ru-RU"/>
        </w:rPr>
      </w:pPr>
      <w:r w:rsidRPr="00BE6C3C">
        <w:rPr>
          <w:lang w:val="ru-RU"/>
        </w:rPr>
        <w:lastRenderedPageBreak/>
        <w:drawing>
          <wp:inline distT="0" distB="0" distL="0" distR="0" wp14:anchorId="720BC37F" wp14:editId="4857D440">
            <wp:extent cx="4429743" cy="193384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9743" cy="1933845"/>
                    </a:xfrm>
                    <a:prstGeom prst="rect">
                      <a:avLst/>
                    </a:prstGeom>
                  </pic:spPr>
                </pic:pic>
              </a:graphicData>
            </a:graphic>
          </wp:inline>
        </w:drawing>
      </w:r>
    </w:p>
    <w:p w14:paraId="51A4F110" w14:textId="77777777" w:rsidR="001F7619" w:rsidRPr="00BE6C3C" w:rsidRDefault="00474AB9">
      <w:pPr>
        <w:pStyle w:val="FC"/>
        <w:rPr>
          <w:lang w:val="ru-RU"/>
        </w:rPr>
      </w:pPr>
      <w:r w:rsidRPr="00BE6C3C">
        <w:rPr>
          <w:lang w:val="ru-RU"/>
        </w:rPr>
        <w:t>Рисунок 5 – Модуль «Список продуктов»</w:t>
      </w:r>
    </w:p>
    <w:p w14:paraId="3FC0D57E" w14:textId="77777777" w:rsidR="001F7619" w:rsidRPr="00BE6C3C" w:rsidRDefault="00474AB9">
      <w:pPr>
        <w:rPr>
          <w:lang w:val="ru-RU"/>
        </w:rPr>
      </w:pPr>
      <w:r w:rsidRPr="00BE6C3C">
        <w:rPr>
          <w:lang w:val="ru-RU"/>
        </w:rPr>
        <w:t>«Отображение данных» – модуль, предназначенный для настройки визуализации результатов в итоговых табли</w:t>
      </w:r>
      <w:r w:rsidRPr="00BE6C3C">
        <w:rPr>
          <w:lang w:val="ru-RU"/>
        </w:rPr>
        <w:t>цах. С его помощью задаётся временной масштаб (месяц), количество строк в отчёте и валюта представления финансовых показателей (российский рубль).</w:t>
      </w:r>
    </w:p>
    <w:p w14:paraId="342D8AC3" w14:textId="77777777" w:rsidR="00BE6C3C" w:rsidRDefault="00BE6C3C">
      <w:pPr>
        <w:pStyle w:val="FC"/>
        <w:rPr>
          <w:lang w:val="ru-RU"/>
        </w:rPr>
      </w:pPr>
      <w:r w:rsidRPr="00BE6C3C">
        <w:rPr>
          <w:rFonts w:cs="Liberation Serif"/>
          <w:color w:val="000000"/>
          <w:sz w:val="28"/>
          <w:lang w:val="ru-RU"/>
        </w:rPr>
        <w:drawing>
          <wp:inline distT="0" distB="0" distL="0" distR="0" wp14:anchorId="608B444B" wp14:editId="59C7D234">
            <wp:extent cx="4001058" cy="1876687"/>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1876687"/>
                    </a:xfrm>
                    <a:prstGeom prst="rect">
                      <a:avLst/>
                    </a:prstGeom>
                  </pic:spPr>
                </pic:pic>
              </a:graphicData>
            </a:graphic>
          </wp:inline>
        </w:drawing>
      </w:r>
    </w:p>
    <w:p w14:paraId="035A5619" w14:textId="61D7F060" w:rsidR="001F7619" w:rsidRPr="00BE6C3C" w:rsidRDefault="00474AB9">
      <w:pPr>
        <w:pStyle w:val="FC"/>
        <w:rPr>
          <w:lang w:val="ru-RU"/>
        </w:rPr>
      </w:pPr>
      <w:r w:rsidRPr="00BE6C3C">
        <w:rPr>
          <w:lang w:val="ru-RU"/>
        </w:rPr>
        <w:t>Рисунок 6 – Модуль «Отображение данных»</w:t>
      </w:r>
    </w:p>
    <w:p w14:paraId="3BA5AACA" w14:textId="77777777" w:rsidR="001F7619" w:rsidRPr="00BE6C3C" w:rsidRDefault="00474AB9">
      <w:pPr>
        <w:rPr>
          <w:lang w:val="ru-RU"/>
        </w:rPr>
      </w:pPr>
      <w:r w:rsidRPr="00BE6C3C">
        <w:rPr>
          <w:lang w:val="ru-RU"/>
        </w:rPr>
        <w:t>В модуле «Настройка расчёта» задают</w:t>
      </w:r>
      <w:r w:rsidRPr="00BE6C3C">
        <w:rPr>
          <w:lang w:val="ru-RU"/>
        </w:rPr>
        <w:t>ся ключевые финансовые параметры, включая ставку дисконтирования и степень детализации при формировании результатов вычислений. Ставка дисконтирования для операций в рублях установлена на уровне 21% (соответствует ключевой ставке Банка России на момент ста</w:t>
      </w:r>
      <w:r w:rsidRPr="00BE6C3C">
        <w:rPr>
          <w:lang w:val="ru-RU"/>
        </w:rPr>
        <w:t>рта проекта). Шаг дисконтирования – месяц.</w:t>
      </w:r>
    </w:p>
    <w:p w14:paraId="530691EE" w14:textId="77777777" w:rsidR="00BE6C3C" w:rsidRDefault="00BE6C3C">
      <w:pPr>
        <w:pStyle w:val="FC"/>
        <w:rPr>
          <w:lang w:val="ru-RU"/>
        </w:rPr>
      </w:pPr>
      <w:r w:rsidRPr="00BE6C3C">
        <w:rPr>
          <w:rFonts w:cs="Liberation Serif"/>
          <w:color w:val="000000"/>
          <w:sz w:val="28"/>
          <w:lang w:val="ru-RU"/>
        </w:rPr>
        <w:lastRenderedPageBreak/>
        <w:drawing>
          <wp:inline distT="0" distB="0" distL="0" distR="0" wp14:anchorId="1EBFEA56" wp14:editId="438DACE0">
            <wp:extent cx="5087060" cy="32580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7060" cy="3258005"/>
                    </a:xfrm>
                    <a:prstGeom prst="rect">
                      <a:avLst/>
                    </a:prstGeom>
                  </pic:spPr>
                </pic:pic>
              </a:graphicData>
            </a:graphic>
          </wp:inline>
        </w:drawing>
      </w:r>
    </w:p>
    <w:p w14:paraId="58C8E692" w14:textId="2D2DD9BA" w:rsidR="001F7619" w:rsidRPr="00BE6C3C" w:rsidRDefault="00474AB9">
      <w:pPr>
        <w:pStyle w:val="FC"/>
        <w:rPr>
          <w:lang w:val="ru-RU"/>
        </w:rPr>
      </w:pPr>
      <w:r w:rsidRPr="00BE6C3C">
        <w:rPr>
          <w:lang w:val="ru-RU"/>
        </w:rPr>
        <w:t>Рисунок 7 – Модуль «Настройка расчёта»</w:t>
      </w:r>
    </w:p>
    <w:p w14:paraId="2E4246C8" w14:textId="77777777" w:rsidR="001F7619" w:rsidRPr="00BE6C3C" w:rsidRDefault="00474AB9">
      <w:pPr>
        <w:pStyle w:val="31"/>
        <w:rPr>
          <w:lang w:val="ru-RU"/>
        </w:rPr>
      </w:pPr>
      <w:r w:rsidRPr="00BE6C3C">
        <w:rPr>
          <w:lang w:val="ru-RU"/>
        </w:rPr>
        <w:t>3.4.2 Описание финансово-экономической среды</w:t>
      </w:r>
    </w:p>
    <w:p w14:paraId="3FA23508" w14:textId="77777777" w:rsidR="001F7619" w:rsidRPr="00BE6C3C" w:rsidRDefault="00474AB9">
      <w:pPr>
        <w:rPr>
          <w:lang w:val="ru-RU"/>
        </w:rPr>
      </w:pPr>
      <w:r w:rsidRPr="00BE6C3C">
        <w:rPr>
          <w:lang w:val="ru-RU"/>
        </w:rPr>
        <w:t>Раздел «Окружение» предназначен для задания внешних экономических и финансовых факторов, оказыв</w:t>
      </w:r>
      <w:r w:rsidRPr="00BE6C3C">
        <w:rPr>
          <w:lang w:val="ru-RU"/>
        </w:rPr>
        <w:t>ающих влияние на реализацию проекта.</w:t>
      </w:r>
    </w:p>
    <w:p w14:paraId="4CD94D98" w14:textId="77777777" w:rsidR="001F7619" w:rsidRPr="00BE6C3C" w:rsidRDefault="00474AB9">
      <w:pPr>
        <w:rPr>
          <w:lang w:val="ru-RU"/>
        </w:rPr>
      </w:pPr>
      <w:r w:rsidRPr="00BE6C3C">
        <w:rPr>
          <w:lang w:val="ru-RU"/>
        </w:rPr>
        <w:t>В модуле «Валюта» задаётся основная валюта проекта – российский рубль. Вспомогательная валюта – доллар США (для расчёта импортных закупок электронной компонентной базы). Обменный курс на дату старта проекта устанавливае</w:t>
      </w:r>
      <w:r w:rsidRPr="00BE6C3C">
        <w:rPr>
          <w:lang w:val="ru-RU"/>
        </w:rPr>
        <w:t>тся на основе данных Банка России.</w:t>
      </w:r>
    </w:p>
    <w:p w14:paraId="14A2B0E2" w14:textId="77777777" w:rsidR="001C1D22" w:rsidRDefault="001C1D22">
      <w:pPr>
        <w:pStyle w:val="FC"/>
        <w:rPr>
          <w:lang w:val="ru-RU"/>
        </w:rPr>
      </w:pPr>
      <w:r w:rsidRPr="001C1D22">
        <w:rPr>
          <w:rFonts w:cs="Liberation Serif"/>
          <w:color w:val="000000"/>
          <w:sz w:val="28"/>
          <w:lang w:val="ru-RU"/>
        </w:rPr>
        <w:lastRenderedPageBreak/>
        <w:drawing>
          <wp:inline distT="0" distB="0" distL="0" distR="0" wp14:anchorId="7EE7A885" wp14:editId="1838E596">
            <wp:extent cx="4201111" cy="25054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2505425"/>
                    </a:xfrm>
                    <a:prstGeom prst="rect">
                      <a:avLst/>
                    </a:prstGeom>
                  </pic:spPr>
                </pic:pic>
              </a:graphicData>
            </a:graphic>
          </wp:inline>
        </w:drawing>
      </w:r>
    </w:p>
    <w:p w14:paraId="7ACCC70E" w14:textId="59CC7B4A" w:rsidR="001F7619" w:rsidRPr="00BE6C3C" w:rsidRDefault="00474AB9">
      <w:pPr>
        <w:pStyle w:val="FC"/>
        <w:rPr>
          <w:lang w:val="ru-RU"/>
        </w:rPr>
      </w:pPr>
      <w:r w:rsidRPr="00BE6C3C">
        <w:rPr>
          <w:lang w:val="ru-RU"/>
        </w:rPr>
        <w:t>Рисунок 8 – Модуль «Валюта»</w:t>
      </w:r>
    </w:p>
    <w:p w14:paraId="1CFD57ED" w14:textId="2B377939" w:rsidR="001F7619" w:rsidRPr="00BE6C3C" w:rsidRDefault="00474AB9">
      <w:pPr>
        <w:rPr>
          <w:lang w:val="ru-RU"/>
        </w:rPr>
      </w:pPr>
      <w:r w:rsidRPr="00BE6C3C">
        <w:rPr>
          <w:lang w:val="ru-RU"/>
        </w:rPr>
        <w:t xml:space="preserve">Модуль «Учётная ставка» позволяет определить годовые ставки рефинансирования для каждой из используемых валют на протяжении всего жизненного цикла </w:t>
      </w:r>
      <w:r w:rsidRPr="00BE6C3C">
        <w:rPr>
          <w:lang w:val="ru-RU"/>
        </w:rPr>
        <w:t xml:space="preserve">проекта. На момент запуска проекта ключевая ставка Банка России составляет </w:t>
      </w:r>
      <w:r w:rsidR="001E74C6">
        <w:rPr>
          <w:lang w:val="ru-RU"/>
        </w:rPr>
        <w:t>16</w:t>
      </w:r>
      <w:r w:rsidRPr="00BE6C3C">
        <w:rPr>
          <w:lang w:val="ru-RU"/>
        </w:rPr>
        <w:t>%.</w:t>
      </w:r>
    </w:p>
    <w:p w14:paraId="4443F3D7" w14:textId="77777777" w:rsidR="001E74C6" w:rsidRDefault="001E74C6">
      <w:pPr>
        <w:pStyle w:val="FC"/>
        <w:rPr>
          <w:lang w:val="ru-RU"/>
        </w:rPr>
      </w:pPr>
      <w:r w:rsidRPr="001E74C6">
        <w:rPr>
          <w:rFonts w:cs="Liberation Serif"/>
          <w:color w:val="000000"/>
          <w:sz w:val="28"/>
          <w:lang w:val="ru-RU"/>
        </w:rPr>
        <w:drawing>
          <wp:inline distT="0" distB="0" distL="0" distR="0" wp14:anchorId="051A374D" wp14:editId="59C84290">
            <wp:extent cx="5382376" cy="1819529"/>
            <wp:effectExtent l="0" t="0" r="889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376" cy="1819529"/>
                    </a:xfrm>
                    <a:prstGeom prst="rect">
                      <a:avLst/>
                    </a:prstGeom>
                  </pic:spPr>
                </pic:pic>
              </a:graphicData>
            </a:graphic>
          </wp:inline>
        </w:drawing>
      </w:r>
    </w:p>
    <w:p w14:paraId="5DAC6CC1" w14:textId="0A323C67" w:rsidR="001F7619" w:rsidRPr="00BE6C3C" w:rsidRDefault="00474AB9">
      <w:pPr>
        <w:pStyle w:val="FC"/>
        <w:rPr>
          <w:lang w:val="ru-RU"/>
        </w:rPr>
      </w:pPr>
      <w:r w:rsidRPr="00BE6C3C">
        <w:rPr>
          <w:lang w:val="ru-RU"/>
        </w:rPr>
        <w:t>Рисунок 9 – Модуль «Учётная ставка»</w:t>
      </w:r>
    </w:p>
    <w:p w14:paraId="3AD5235F" w14:textId="77777777" w:rsidR="001F7619" w:rsidRPr="00BE6C3C" w:rsidRDefault="00474AB9">
      <w:pPr>
        <w:rPr>
          <w:lang w:val="ru-RU"/>
        </w:rPr>
      </w:pPr>
      <w:r w:rsidRPr="00BE6C3C">
        <w:rPr>
          <w:lang w:val="ru-RU"/>
        </w:rPr>
        <w:t>Функционал модуля «Инфляция» позволяет учесть инфляционные факторы, воздействующие на внешние условия реал</w:t>
      </w:r>
      <w:r w:rsidRPr="00BE6C3C">
        <w:rPr>
          <w:lang w:val="ru-RU"/>
        </w:rPr>
        <w:t xml:space="preserve">изации проекта. Степень влияния инфляции задаётся дифференцированно по категориям: сбыт, прямые издержки (комплектующие), общие издержки, заработная плата и недвижимость. Прогнозный уровень инфляции на 2027–2029 годы </w:t>
      </w:r>
      <w:r w:rsidRPr="00BE6C3C">
        <w:rPr>
          <w:lang w:val="ru-RU"/>
        </w:rPr>
        <w:lastRenderedPageBreak/>
        <w:t>принят в диапазоне 7–8% годовых на осно</w:t>
      </w:r>
      <w:r w:rsidRPr="00BE6C3C">
        <w:rPr>
          <w:lang w:val="ru-RU"/>
        </w:rPr>
        <w:t>вании консенсус-прогноза Банка России.</w:t>
      </w:r>
    </w:p>
    <w:p w14:paraId="2E900951" w14:textId="77777777" w:rsidR="001E74C6" w:rsidRDefault="001E74C6">
      <w:pPr>
        <w:pStyle w:val="FC"/>
        <w:rPr>
          <w:lang w:val="ru-RU"/>
        </w:rPr>
      </w:pPr>
      <w:r w:rsidRPr="001E74C6">
        <w:rPr>
          <w:rFonts w:cs="Liberation Serif"/>
          <w:color w:val="000000"/>
          <w:sz w:val="28"/>
          <w:lang w:val="ru-RU"/>
        </w:rPr>
        <w:drawing>
          <wp:inline distT="0" distB="0" distL="0" distR="0" wp14:anchorId="7F786A05" wp14:editId="49884517">
            <wp:extent cx="4906060" cy="2772162"/>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6060" cy="2772162"/>
                    </a:xfrm>
                    <a:prstGeom prst="rect">
                      <a:avLst/>
                    </a:prstGeom>
                  </pic:spPr>
                </pic:pic>
              </a:graphicData>
            </a:graphic>
          </wp:inline>
        </w:drawing>
      </w:r>
    </w:p>
    <w:p w14:paraId="213CB4B1" w14:textId="0BCF6630" w:rsidR="001F7619" w:rsidRPr="00BE6C3C" w:rsidRDefault="00474AB9">
      <w:pPr>
        <w:pStyle w:val="FC"/>
        <w:rPr>
          <w:lang w:val="ru-RU"/>
        </w:rPr>
      </w:pPr>
      <w:r w:rsidRPr="00BE6C3C">
        <w:rPr>
          <w:lang w:val="ru-RU"/>
        </w:rPr>
        <w:t>Рисунок 10 – Модуль «Инфляция»</w:t>
      </w:r>
    </w:p>
    <w:p w14:paraId="30EC9FCD" w14:textId="77777777" w:rsidR="001F7619" w:rsidRPr="00BE6C3C" w:rsidRDefault="00474AB9">
      <w:pPr>
        <w:rPr>
          <w:lang w:val="ru-RU"/>
        </w:rPr>
      </w:pPr>
      <w:r w:rsidRPr="00BE6C3C">
        <w:rPr>
          <w:lang w:val="ru-RU"/>
        </w:rPr>
        <w:t>Модуль «Налоги» обеспечивает ввод данных о налоговых обязательствах предприятия. В соответствии с выбранным налоговым режимом (УСН «доходы минус расходы</w:t>
      </w:r>
      <w:r w:rsidRPr="00BE6C3C">
        <w:rPr>
          <w:lang w:val="ru-RU"/>
        </w:rPr>
        <w:t>» 15%) в модуль вносятся следующие параметры: ставка единого налога 15%, страховые взносы 30% (с суммы до 1,5 МРОТ) и 15% (с суммы превышения), а также взносы на травматизм. Налог на имущество и НДС не применяются в связи с использованием упрощённой систем</w:t>
      </w:r>
      <w:r w:rsidRPr="00BE6C3C">
        <w:rPr>
          <w:lang w:val="ru-RU"/>
        </w:rPr>
        <w:t xml:space="preserve">ы налогообложения и </w:t>
      </w:r>
      <w:proofErr w:type="spellStart"/>
      <w:r w:rsidRPr="00BE6C3C">
        <w:rPr>
          <w:lang w:val="ru-RU"/>
        </w:rPr>
        <w:t>непревышением</w:t>
      </w:r>
      <w:proofErr w:type="spellEnd"/>
      <w:r w:rsidRPr="00BE6C3C">
        <w:rPr>
          <w:lang w:val="ru-RU"/>
        </w:rPr>
        <w:t xml:space="preserve"> порога выручки 20 млн рублей в год.</w:t>
      </w:r>
    </w:p>
    <w:p w14:paraId="6EE3950A" w14:textId="77777777" w:rsidR="001E74C6" w:rsidRDefault="001E74C6">
      <w:pPr>
        <w:pStyle w:val="FC"/>
        <w:rPr>
          <w:lang w:val="ru-RU"/>
        </w:rPr>
      </w:pPr>
      <w:r w:rsidRPr="001E74C6">
        <w:rPr>
          <w:rFonts w:cs="Liberation Serif"/>
          <w:color w:val="000000"/>
          <w:sz w:val="28"/>
          <w:lang w:val="ru-RU"/>
        </w:rPr>
        <w:lastRenderedPageBreak/>
        <w:drawing>
          <wp:inline distT="0" distB="0" distL="0" distR="0" wp14:anchorId="7DE8B314" wp14:editId="632AFFA6">
            <wp:extent cx="3924848" cy="3534268"/>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4848" cy="3534268"/>
                    </a:xfrm>
                    <a:prstGeom prst="rect">
                      <a:avLst/>
                    </a:prstGeom>
                  </pic:spPr>
                </pic:pic>
              </a:graphicData>
            </a:graphic>
          </wp:inline>
        </w:drawing>
      </w:r>
    </w:p>
    <w:p w14:paraId="2BFE842B" w14:textId="039E670A" w:rsidR="001F7619" w:rsidRPr="00BE6C3C" w:rsidRDefault="00474AB9">
      <w:pPr>
        <w:pStyle w:val="FC"/>
        <w:rPr>
          <w:lang w:val="ru-RU"/>
        </w:rPr>
      </w:pPr>
      <w:r w:rsidRPr="00BE6C3C">
        <w:rPr>
          <w:lang w:val="ru-RU"/>
        </w:rPr>
        <w:t>Рисунок 11 – Модуль «Налоги»</w:t>
      </w:r>
    </w:p>
    <w:p w14:paraId="5E213DF6" w14:textId="77777777" w:rsidR="001F7619" w:rsidRPr="00BE6C3C" w:rsidRDefault="00474AB9">
      <w:pPr>
        <w:pStyle w:val="31"/>
        <w:rPr>
          <w:lang w:val="ru-RU"/>
        </w:rPr>
      </w:pPr>
      <w:r w:rsidRPr="00BE6C3C">
        <w:rPr>
          <w:lang w:val="ru-RU"/>
        </w:rPr>
        <w:t>3.4.3 Составление календарного графика работ</w:t>
      </w:r>
    </w:p>
    <w:p w14:paraId="3C52F1A1" w14:textId="77777777" w:rsidR="001F7619" w:rsidRPr="00BE6C3C" w:rsidRDefault="00474AB9">
      <w:pPr>
        <w:rPr>
          <w:lang w:val="ru-RU"/>
        </w:rPr>
      </w:pPr>
      <w:r w:rsidRPr="00BE6C3C">
        <w:rPr>
          <w:lang w:val="ru-RU"/>
        </w:rPr>
        <w:t>Формирование календарного графика реализации проекта осуществляется в рамках р</w:t>
      </w:r>
      <w:r w:rsidRPr="00BE6C3C">
        <w:rPr>
          <w:lang w:val="ru-RU"/>
        </w:rPr>
        <w:t>аздела «Инвестиционный план» с использованием специализированного модуля «Календарный план». Данный инструментарий позволяет систематизировать все подготовительные мероприятия, предшествующие запуску производственного процесса.</w:t>
      </w:r>
    </w:p>
    <w:p w14:paraId="550C74D2" w14:textId="77777777" w:rsidR="001F7619" w:rsidRPr="00BE6C3C" w:rsidRDefault="00474AB9">
      <w:pPr>
        <w:rPr>
          <w:lang w:val="ru-RU"/>
        </w:rPr>
      </w:pPr>
      <w:r w:rsidRPr="00BE6C3C">
        <w:rPr>
          <w:lang w:val="ru-RU"/>
        </w:rPr>
        <w:t>Функциональные возможности м</w:t>
      </w:r>
      <w:r w:rsidRPr="00BE6C3C">
        <w:rPr>
          <w:lang w:val="ru-RU"/>
        </w:rPr>
        <w:t>одуля включают: детализированный перечень технологических этапов инвестиционной фазы, расчёт временных затрат (в днях) для каждого этапа и определение объёма требуемых капитальных вложений (в рублях). Для наглядного представления данных в интерфейсе модуля</w:t>
      </w:r>
      <w:r w:rsidRPr="00BE6C3C">
        <w:rPr>
          <w:lang w:val="ru-RU"/>
        </w:rPr>
        <w:t xml:space="preserve"> предусмотрена графическая диаграмма </w:t>
      </w:r>
      <w:proofErr w:type="spellStart"/>
      <w:r w:rsidRPr="00BE6C3C">
        <w:rPr>
          <w:lang w:val="ru-RU"/>
        </w:rPr>
        <w:t>Ганта</w:t>
      </w:r>
      <w:proofErr w:type="spellEnd"/>
      <w:r w:rsidRPr="00BE6C3C">
        <w:rPr>
          <w:lang w:val="ru-RU"/>
        </w:rPr>
        <w:t>, визуализирующая хронологическую последовательность этапов и их взаимозависимости.</w:t>
      </w:r>
    </w:p>
    <w:p w14:paraId="59EA7321" w14:textId="77777777" w:rsidR="001F7619" w:rsidRPr="00BE6C3C" w:rsidRDefault="00474AB9">
      <w:pPr>
        <w:rPr>
          <w:lang w:val="ru-RU"/>
        </w:rPr>
      </w:pPr>
      <w:r w:rsidRPr="00BE6C3C">
        <w:rPr>
          <w:lang w:val="ru-RU"/>
        </w:rPr>
        <w:lastRenderedPageBreak/>
        <w:t>В календарный план внесены следующие этапы: регистрация юридического лица, оформление кредита, подписание договора аренды, разрабо</w:t>
      </w:r>
      <w:r w:rsidRPr="00BE6C3C">
        <w:rPr>
          <w:lang w:val="ru-RU"/>
        </w:rPr>
        <w:t xml:space="preserve">тка конструкторской документации, закупка оборудования (стенд «СИ–ТДК», климатическая камера, паяльные станции), ремонт помещения и монтаж </w:t>
      </w:r>
      <w:r>
        <w:t>ESD</w:t>
      </w:r>
      <w:r w:rsidRPr="00BE6C3C">
        <w:rPr>
          <w:lang w:val="ru-RU"/>
        </w:rPr>
        <w:t>-зоны, изготовление пресс-формы корпуса, пусконаладка оборудования, найм и обучение персонала, сборка пробной парт</w:t>
      </w:r>
      <w:r w:rsidRPr="00BE6C3C">
        <w:rPr>
          <w:lang w:val="ru-RU"/>
        </w:rPr>
        <w:t>ии и сертификация продукции по ТР ЕАЭС 043/2017. Общая длительность инвестиционной фазы составляет 4 месяца (сентябрь–декабрь 2026 года).</w:t>
      </w:r>
    </w:p>
    <w:p w14:paraId="14C01E29" w14:textId="025B88ED" w:rsidR="001F7619" w:rsidRPr="00BE6C3C" w:rsidRDefault="00801D74">
      <w:pPr>
        <w:pStyle w:val="FC"/>
        <w:rPr>
          <w:lang w:val="ru-RU"/>
        </w:rPr>
      </w:pPr>
      <w:r w:rsidRPr="00801D74">
        <w:rPr>
          <w:rFonts w:cs="Liberation Serif"/>
          <w:color w:val="000000"/>
          <w:sz w:val="28"/>
          <w:lang w:val="ru-RU"/>
        </w:rPr>
        <w:drawing>
          <wp:inline distT="0" distB="0" distL="0" distR="0" wp14:anchorId="0CA0A9EB" wp14:editId="56E702D6">
            <wp:extent cx="6152515" cy="583184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5831840"/>
                    </a:xfrm>
                    <a:prstGeom prst="rect">
                      <a:avLst/>
                    </a:prstGeom>
                  </pic:spPr>
                </pic:pic>
              </a:graphicData>
            </a:graphic>
          </wp:inline>
        </w:drawing>
      </w:r>
      <w:r w:rsidR="00474AB9" w:rsidRPr="00BE6C3C">
        <w:rPr>
          <w:lang w:val="ru-RU"/>
        </w:rPr>
        <w:t xml:space="preserve">Рисунок 12 – Модуль «Календарный план» (диаграмма </w:t>
      </w:r>
      <w:proofErr w:type="spellStart"/>
      <w:r w:rsidR="00474AB9" w:rsidRPr="00BE6C3C">
        <w:rPr>
          <w:lang w:val="ru-RU"/>
        </w:rPr>
        <w:t>Ганта</w:t>
      </w:r>
      <w:proofErr w:type="spellEnd"/>
      <w:r w:rsidR="00474AB9" w:rsidRPr="00BE6C3C">
        <w:rPr>
          <w:lang w:val="ru-RU"/>
        </w:rPr>
        <w:t>)</w:t>
      </w:r>
    </w:p>
    <w:p w14:paraId="2951CA23" w14:textId="77777777" w:rsidR="001F7619" w:rsidRPr="00BE6C3C" w:rsidRDefault="00474AB9">
      <w:pPr>
        <w:pStyle w:val="31"/>
        <w:rPr>
          <w:lang w:val="ru-RU"/>
        </w:rPr>
      </w:pPr>
      <w:r w:rsidRPr="00BE6C3C">
        <w:rPr>
          <w:lang w:val="ru-RU"/>
        </w:rPr>
        <w:lastRenderedPageBreak/>
        <w:t>3.4.4 Формирование операцио</w:t>
      </w:r>
      <w:r w:rsidRPr="00BE6C3C">
        <w:rPr>
          <w:lang w:val="ru-RU"/>
        </w:rPr>
        <w:t>нного плана</w:t>
      </w:r>
    </w:p>
    <w:p w14:paraId="41C45FE1" w14:textId="77777777" w:rsidR="001F7619" w:rsidRPr="00BE6C3C" w:rsidRDefault="00474AB9">
      <w:pPr>
        <w:rPr>
          <w:lang w:val="ru-RU"/>
        </w:rPr>
      </w:pPr>
      <w:r w:rsidRPr="00BE6C3C">
        <w:rPr>
          <w:lang w:val="ru-RU"/>
        </w:rPr>
        <w:t>Разработка операционного плана осуществляется в специализированных модулях раздела «Операционный план», предназначенных для детализации стратегии операционной деятельности предприятия.</w:t>
      </w:r>
    </w:p>
    <w:p w14:paraId="259F194D" w14:textId="77777777" w:rsidR="001F7619" w:rsidRPr="00BE6C3C" w:rsidRDefault="00474AB9">
      <w:pPr>
        <w:rPr>
          <w:lang w:val="ru-RU"/>
        </w:rPr>
      </w:pPr>
      <w:r w:rsidRPr="00BE6C3C">
        <w:rPr>
          <w:lang w:val="ru-RU"/>
        </w:rPr>
        <w:t>В модуле «План сбыта» формируется стратегия продаж, включая</w:t>
      </w:r>
      <w:r w:rsidRPr="00BE6C3C">
        <w:rPr>
          <w:lang w:val="ru-RU"/>
        </w:rPr>
        <w:t xml:space="preserve"> определение ценовой политики и прогнозирование месячных объёмов реализации продукции. Отпускная цена комбинированного извещателя установлена на уровне 1 800 рублей за единицу, монтажной базы с изолятором КЗ – 350 рублей. Объём продаж нарастает ступенчато </w:t>
      </w:r>
      <w:r w:rsidRPr="00BE6C3C">
        <w:rPr>
          <w:lang w:val="ru-RU"/>
        </w:rPr>
        <w:t>от 350 единиц в месяц (загрузка 50%) до 700 единиц в месяц (загрузка 100%) в течение первых двенадцати месяцев операционной деятельности.</w:t>
      </w:r>
    </w:p>
    <w:p w14:paraId="71420234" w14:textId="77777777" w:rsidR="00801D74" w:rsidRDefault="00801D74">
      <w:pPr>
        <w:pStyle w:val="FC"/>
        <w:rPr>
          <w:lang w:val="ru-RU"/>
        </w:rPr>
      </w:pPr>
      <w:r w:rsidRPr="00801D74">
        <w:rPr>
          <w:rFonts w:cs="Liberation Serif"/>
          <w:color w:val="000000"/>
          <w:sz w:val="28"/>
          <w:lang w:val="ru-RU"/>
        </w:rPr>
        <w:drawing>
          <wp:inline distT="0" distB="0" distL="0" distR="0" wp14:anchorId="3DD886B0" wp14:editId="36B3F4BD">
            <wp:extent cx="5430008" cy="378195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008" cy="3781953"/>
                    </a:xfrm>
                    <a:prstGeom prst="rect">
                      <a:avLst/>
                    </a:prstGeom>
                  </pic:spPr>
                </pic:pic>
              </a:graphicData>
            </a:graphic>
          </wp:inline>
        </w:drawing>
      </w:r>
    </w:p>
    <w:p w14:paraId="33AD0831" w14:textId="30C0D898" w:rsidR="001F7619" w:rsidRPr="00BE6C3C" w:rsidRDefault="00474AB9">
      <w:pPr>
        <w:pStyle w:val="FC"/>
        <w:rPr>
          <w:lang w:val="ru-RU"/>
        </w:rPr>
      </w:pPr>
      <w:r w:rsidRPr="00BE6C3C">
        <w:rPr>
          <w:lang w:val="ru-RU"/>
        </w:rPr>
        <w:t>Рисунок 13 – Модуль «План сбыта»</w:t>
      </w:r>
    </w:p>
    <w:p w14:paraId="101FFF45" w14:textId="77777777" w:rsidR="001F7619" w:rsidRPr="00BE6C3C" w:rsidRDefault="00474AB9">
      <w:pPr>
        <w:rPr>
          <w:lang w:val="ru-RU"/>
        </w:rPr>
      </w:pPr>
      <w:r w:rsidRPr="00BE6C3C">
        <w:rPr>
          <w:lang w:val="ru-RU"/>
        </w:rPr>
        <w:lastRenderedPageBreak/>
        <w:t>Модуль «План производства» (прямые издержки) исполь</w:t>
      </w:r>
      <w:r w:rsidRPr="00BE6C3C">
        <w:rPr>
          <w:lang w:val="ru-RU"/>
        </w:rPr>
        <w:t>зуется для детализации производственной себестоимости продукции. В данный модуль внесена спецификация материалов (</w:t>
      </w:r>
      <w:r>
        <w:t>BOM</w:t>
      </w:r>
      <w:r w:rsidRPr="00BE6C3C">
        <w:rPr>
          <w:lang w:val="ru-RU"/>
        </w:rPr>
        <w:t xml:space="preserve">) на один комбинированный извещатель: печатная плата с </w:t>
      </w:r>
      <w:r>
        <w:t>SMT</w:t>
      </w:r>
      <w:r w:rsidRPr="00BE6C3C">
        <w:rPr>
          <w:lang w:val="ru-RU"/>
        </w:rPr>
        <w:t xml:space="preserve">-монтажом (175 руб.), пластиковый корпус (50 руб.), микроконтроллер </w:t>
      </w:r>
      <w:r>
        <w:t>WCH</w:t>
      </w:r>
      <w:r w:rsidRPr="00BE6C3C">
        <w:rPr>
          <w:lang w:val="ru-RU"/>
        </w:rPr>
        <w:t xml:space="preserve"> </w:t>
      </w:r>
      <w:r>
        <w:t>CH</w:t>
      </w:r>
      <w:r w:rsidRPr="00BE6C3C">
        <w:rPr>
          <w:lang w:val="ru-RU"/>
        </w:rPr>
        <w:t>32</w:t>
      </w:r>
      <w:r>
        <w:t>V</w:t>
      </w:r>
      <w:r w:rsidRPr="00BE6C3C">
        <w:rPr>
          <w:lang w:val="ru-RU"/>
        </w:rPr>
        <w:t xml:space="preserve">003 </w:t>
      </w:r>
      <w:r w:rsidRPr="00BE6C3C">
        <w:rPr>
          <w:lang w:val="ru-RU"/>
        </w:rPr>
        <w:t xml:space="preserve">(23 руб.), термистор </w:t>
      </w:r>
      <w:r>
        <w:t>NTC</w:t>
      </w:r>
      <w:r w:rsidRPr="00BE6C3C">
        <w:rPr>
          <w:lang w:val="ru-RU"/>
        </w:rPr>
        <w:t xml:space="preserve"> (6 руб.), оптическая пара ИК-диод + фототранзистор (46 руб.), пассивные компоненты (20 руб.), разъёмы (15 руб.), расходные материалы (25 руб.) и упаковка (22 руб.). Совокупная прямая себестоимость одного изделия составляет 382 рубл</w:t>
      </w:r>
      <w:r w:rsidRPr="00BE6C3C">
        <w:rPr>
          <w:lang w:val="ru-RU"/>
        </w:rPr>
        <w:t>я.</w:t>
      </w:r>
    </w:p>
    <w:p w14:paraId="0427BA5A" w14:textId="4DFBDE07" w:rsidR="00CE123D" w:rsidRDefault="00CE123D">
      <w:pPr>
        <w:pStyle w:val="FC"/>
        <w:rPr>
          <w:lang w:val="ru-RU"/>
        </w:rPr>
      </w:pPr>
      <w:r w:rsidRPr="00CE123D">
        <w:rPr>
          <w:lang w:val="ru-RU"/>
        </w:rPr>
        <w:drawing>
          <wp:inline distT="0" distB="0" distL="0" distR="0" wp14:anchorId="52817FCB" wp14:editId="4D107300">
            <wp:extent cx="5772956" cy="3781953"/>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2956" cy="3781953"/>
                    </a:xfrm>
                    <a:prstGeom prst="rect">
                      <a:avLst/>
                    </a:prstGeom>
                  </pic:spPr>
                </pic:pic>
              </a:graphicData>
            </a:graphic>
          </wp:inline>
        </w:drawing>
      </w:r>
    </w:p>
    <w:p w14:paraId="66812920" w14:textId="6F895FA9" w:rsidR="001F7619" w:rsidRPr="00BE6C3C" w:rsidRDefault="00474AB9">
      <w:pPr>
        <w:pStyle w:val="FC"/>
        <w:rPr>
          <w:lang w:val="ru-RU"/>
        </w:rPr>
      </w:pPr>
      <w:r w:rsidRPr="00BE6C3C">
        <w:rPr>
          <w:lang w:val="ru-RU"/>
        </w:rPr>
        <w:t>Рисунок 14 – Модуль «План производства» (прямые издержки)</w:t>
      </w:r>
    </w:p>
    <w:p w14:paraId="0413946F" w14:textId="7847217C" w:rsidR="001F7619" w:rsidRDefault="00474AB9">
      <w:pPr>
        <w:rPr>
          <w:lang w:val="ru-RU"/>
        </w:rPr>
      </w:pPr>
      <w:r w:rsidRPr="00BE6C3C">
        <w:rPr>
          <w:lang w:val="ru-RU"/>
        </w:rPr>
        <w:t xml:space="preserve">Модуль «План персонала» предназначен для внесения данных о сотрудниках предприятия, включая численность работников по должностям и размер их заработной </w:t>
      </w:r>
      <w:r w:rsidRPr="00BE6C3C">
        <w:rPr>
          <w:lang w:val="ru-RU"/>
        </w:rPr>
        <w:t xml:space="preserve">платы. Штатное расписание включает: Директор (70 000 руб./мес.), Главный инженер (100 000 руб./мес.), Техник </w:t>
      </w:r>
      <w:r w:rsidRPr="00BE6C3C">
        <w:rPr>
          <w:lang w:val="ru-RU"/>
        </w:rPr>
        <w:lastRenderedPageBreak/>
        <w:t xml:space="preserve">ОТК (60 000 руб./мес.), Сборщик РЭА №1 (70 000 руб./мес.), Сборщик РЭА №2 (70 000 руб./мес.). Программа автоматически начисляет на указанные суммы </w:t>
      </w:r>
      <w:r w:rsidRPr="00BE6C3C">
        <w:rPr>
          <w:lang w:val="ru-RU"/>
        </w:rPr>
        <w:t>страховые взносы в соответствии с заданными в модуле «Налоги» ставками.</w:t>
      </w:r>
    </w:p>
    <w:p w14:paraId="5BDC7BC5" w14:textId="348519CC" w:rsidR="00452BE2" w:rsidRDefault="00452BE2">
      <w:pPr>
        <w:rPr>
          <w:lang w:val="ru-RU"/>
        </w:rPr>
      </w:pPr>
    </w:p>
    <w:p w14:paraId="713B69CB" w14:textId="0F5683EA" w:rsidR="00452BE2" w:rsidRDefault="00452BE2">
      <w:pPr>
        <w:rPr>
          <w:lang w:val="ru-RU"/>
        </w:rPr>
      </w:pPr>
    </w:p>
    <w:p w14:paraId="050F6288" w14:textId="3A43A990" w:rsidR="00452BE2" w:rsidRDefault="00452BE2">
      <w:pPr>
        <w:rPr>
          <w:lang w:val="ru-RU"/>
        </w:rPr>
      </w:pPr>
    </w:p>
    <w:p w14:paraId="50CCCEF4" w14:textId="5C2C5815" w:rsidR="00452BE2" w:rsidRDefault="00452BE2">
      <w:pPr>
        <w:rPr>
          <w:lang w:val="ru-RU"/>
        </w:rPr>
      </w:pPr>
    </w:p>
    <w:p w14:paraId="2C3BF79F" w14:textId="13974803" w:rsidR="00452BE2" w:rsidRDefault="00452BE2">
      <w:pPr>
        <w:rPr>
          <w:lang w:val="ru-RU"/>
        </w:rPr>
      </w:pPr>
    </w:p>
    <w:p w14:paraId="2DB245E0" w14:textId="2B2F715A" w:rsidR="00452BE2" w:rsidRDefault="00452BE2">
      <w:pPr>
        <w:rPr>
          <w:lang w:val="ru-RU"/>
        </w:rPr>
      </w:pPr>
    </w:p>
    <w:p w14:paraId="561C4E67" w14:textId="16F8B4EA" w:rsidR="00452BE2" w:rsidRDefault="00452BE2">
      <w:pPr>
        <w:rPr>
          <w:lang w:val="ru-RU"/>
        </w:rPr>
      </w:pPr>
    </w:p>
    <w:p w14:paraId="5E413346" w14:textId="0658DC1A" w:rsidR="00452BE2" w:rsidRDefault="00452BE2">
      <w:pPr>
        <w:rPr>
          <w:lang w:val="ru-RU"/>
        </w:rPr>
      </w:pPr>
    </w:p>
    <w:p w14:paraId="1A00727E" w14:textId="1E350339" w:rsidR="00452BE2" w:rsidRDefault="00452BE2">
      <w:pPr>
        <w:rPr>
          <w:lang w:val="ru-RU"/>
        </w:rPr>
      </w:pPr>
    </w:p>
    <w:p w14:paraId="72C96511" w14:textId="33372255" w:rsidR="00452BE2" w:rsidRDefault="00452BE2">
      <w:pPr>
        <w:rPr>
          <w:lang w:val="ru-RU"/>
        </w:rPr>
      </w:pPr>
    </w:p>
    <w:p w14:paraId="652CD2BF" w14:textId="039DC840" w:rsidR="00452BE2" w:rsidRDefault="00452BE2">
      <w:pPr>
        <w:rPr>
          <w:lang w:val="ru-RU"/>
        </w:rPr>
      </w:pPr>
    </w:p>
    <w:p w14:paraId="5717F114" w14:textId="4C885E16" w:rsidR="00452BE2" w:rsidRDefault="00452BE2">
      <w:pPr>
        <w:rPr>
          <w:lang w:val="ru-RU"/>
        </w:rPr>
      </w:pPr>
    </w:p>
    <w:p w14:paraId="268E5952" w14:textId="77777777" w:rsidR="00452BE2" w:rsidRPr="00BE6C3C" w:rsidRDefault="00452BE2">
      <w:pPr>
        <w:rPr>
          <w:lang w:val="ru-RU"/>
        </w:rPr>
      </w:pPr>
    </w:p>
    <w:p w14:paraId="7E3217B3" w14:textId="7364AB2A" w:rsidR="001F7619" w:rsidRDefault="00452BE2">
      <w:pPr>
        <w:ind w:firstLine="0"/>
        <w:jc w:val="center"/>
        <w:rPr>
          <w:lang w:val="ru-RU"/>
        </w:rPr>
      </w:pPr>
      <w:r w:rsidRPr="00452BE2">
        <w:rPr>
          <w:lang w:val="ru-RU"/>
        </w:rPr>
        <w:lastRenderedPageBreak/>
        <w:drawing>
          <wp:inline distT="0" distB="0" distL="0" distR="0" wp14:anchorId="4FA99204" wp14:editId="37538071">
            <wp:extent cx="4858428" cy="396295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428" cy="3962953"/>
                    </a:xfrm>
                    <a:prstGeom prst="rect">
                      <a:avLst/>
                    </a:prstGeom>
                  </pic:spPr>
                </pic:pic>
              </a:graphicData>
            </a:graphic>
          </wp:inline>
        </w:drawing>
      </w:r>
    </w:p>
    <w:p w14:paraId="78076E94" w14:textId="53F97041" w:rsidR="00452BE2" w:rsidRPr="00BE6C3C" w:rsidRDefault="00452BE2">
      <w:pPr>
        <w:ind w:firstLine="0"/>
        <w:jc w:val="center"/>
        <w:rPr>
          <w:lang w:val="ru-RU"/>
        </w:rPr>
      </w:pPr>
      <w:r w:rsidRPr="00452BE2">
        <w:rPr>
          <w:lang w:val="ru-RU"/>
        </w:rPr>
        <w:drawing>
          <wp:inline distT="0" distB="0" distL="0" distR="0" wp14:anchorId="23544CC7" wp14:editId="74122CA1">
            <wp:extent cx="4829849" cy="3953427"/>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9849" cy="3953427"/>
                    </a:xfrm>
                    <a:prstGeom prst="rect">
                      <a:avLst/>
                    </a:prstGeom>
                  </pic:spPr>
                </pic:pic>
              </a:graphicData>
            </a:graphic>
          </wp:inline>
        </w:drawing>
      </w:r>
    </w:p>
    <w:p w14:paraId="62C422C4" w14:textId="77777777" w:rsidR="001F7619" w:rsidRPr="00BE6C3C" w:rsidRDefault="00474AB9">
      <w:pPr>
        <w:pStyle w:val="FC"/>
        <w:rPr>
          <w:lang w:val="ru-RU"/>
        </w:rPr>
      </w:pPr>
      <w:r w:rsidRPr="00BE6C3C">
        <w:rPr>
          <w:lang w:val="ru-RU"/>
        </w:rPr>
        <w:t>Рисунок 15 – Модуль «План персонала»</w:t>
      </w:r>
    </w:p>
    <w:p w14:paraId="1976930B" w14:textId="77777777" w:rsidR="001F7619" w:rsidRPr="00BE6C3C" w:rsidRDefault="00474AB9">
      <w:pPr>
        <w:rPr>
          <w:lang w:val="ru-RU"/>
        </w:rPr>
      </w:pPr>
      <w:r w:rsidRPr="00BE6C3C">
        <w:rPr>
          <w:lang w:val="ru-RU"/>
        </w:rPr>
        <w:lastRenderedPageBreak/>
        <w:t xml:space="preserve">Модуль «Общие издержки» отражает совокупные ежемесячные постоянные расходы предприятия, не зависящие от </w:t>
      </w:r>
      <w:r w:rsidRPr="00BE6C3C">
        <w:rPr>
          <w:lang w:val="ru-RU"/>
        </w:rPr>
        <w:t xml:space="preserve">объёма производства. В данный модуль внесены: арендная плата за помещение (49 875 руб./мес.), коммунальные услуги и интернет (22 000 руб./мес.), бухгалтерское обслуживание на </w:t>
      </w:r>
      <w:proofErr w:type="spellStart"/>
      <w:r w:rsidRPr="00BE6C3C">
        <w:rPr>
          <w:lang w:val="ru-RU"/>
        </w:rPr>
        <w:t>аутсорсе</w:t>
      </w:r>
      <w:proofErr w:type="spellEnd"/>
      <w:r w:rsidRPr="00BE6C3C">
        <w:rPr>
          <w:lang w:val="ru-RU"/>
        </w:rPr>
        <w:t xml:space="preserve"> (18 000 руб./мес.), расходы на рекламу и участие в выставках (15 000 руб</w:t>
      </w:r>
      <w:r w:rsidRPr="00BE6C3C">
        <w:rPr>
          <w:lang w:val="ru-RU"/>
        </w:rPr>
        <w:t>./мес.), прочие административные расходы (10 000 руб./мес.).</w:t>
      </w:r>
    </w:p>
    <w:p w14:paraId="74F3DEAA" w14:textId="6B45B88B" w:rsidR="001F7619" w:rsidRPr="00BE6C3C" w:rsidRDefault="006A6139">
      <w:pPr>
        <w:ind w:firstLine="0"/>
        <w:jc w:val="center"/>
        <w:rPr>
          <w:lang w:val="ru-RU"/>
        </w:rPr>
      </w:pPr>
      <w:r w:rsidRPr="006A6139">
        <w:rPr>
          <w:lang w:val="ru-RU"/>
        </w:rPr>
        <w:drawing>
          <wp:inline distT="0" distB="0" distL="0" distR="0" wp14:anchorId="6CC59159" wp14:editId="7265F00D">
            <wp:extent cx="4839375" cy="390579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9375" cy="3905795"/>
                    </a:xfrm>
                    <a:prstGeom prst="rect">
                      <a:avLst/>
                    </a:prstGeom>
                  </pic:spPr>
                </pic:pic>
              </a:graphicData>
            </a:graphic>
          </wp:inline>
        </w:drawing>
      </w:r>
    </w:p>
    <w:p w14:paraId="4AB21F83" w14:textId="77777777" w:rsidR="001F7619" w:rsidRPr="00BE6C3C" w:rsidRDefault="00474AB9">
      <w:pPr>
        <w:pStyle w:val="FC"/>
        <w:rPr>
          <w:lang w:val="ru-RU"/>
        </w:rPr>
      </w:pPr>
      <w:r w:rsidRPr="00BE6C3C">
        <w:rPr>
          <w:lang w:val="ru-RU"/>
        </w:rPr>
        <w:t>Рисунок 16 – Модуль «Общие издержки»</w:t>
      </w:r>
    </w:p>
    <w:p w14:paraId="2E6FB2E4" w14:textId="77777777" w:rsidR="001F7619" w:rsidRPr="00BE6C3C" w:rsidRDefault="00474AB9">
      <w:pPr>
        <w:pStyle w:val="31"/>
        <w:rPr>
          <w:lang w:val="ru-RU"/>
        </w:rPr>
      </w:pPr>
      <w:r w:rsidRPr="00BE6C3C">
        <w:rPr>
          <w:lang w:val="ru-RU"/>
        </w:rPr>
        <w:t>3.4.5 Формирование финансового плана</w:t>
      </w:r>
    </w:p>
    <w:p w14:paraId="0E2EA78D" w14:textId="77777777" w:rsidR="001F7619" w:rsidRPr="00BE6C3C" w:rsidRDefault="00474AB9">
      <w:pPr>
        <w:rPr>
          <w:lang w:val="ru-RU"/>
        </w:rPr>
      </w:pPr>
      <w:r w:rsidRPr="00BE6C3C">
        <w:rPr>
          <w:lang w:val="ru-RU"/>
        </w:rPr>
        <w:t>Раздел «Финансирование» служит для формирования финансового плана проекта и определения</w:t>
      </w:r>
      <w:r w:rsidRPr="00BE6C3C">
        <w:rPr>
          <w:lang w:val="ru-RU"/>
        </w:rPr>
        <w:t xml:space="preserve"> структуры привлекаемого капитала.</w:t>
      </w:r>
    </w:p>
    <w:p w14:paraId="2EDE9415" w14:textId="77777777" w:rsidR="001F7619" w:rsidRPr="00BE6C3C" w:rsidRDefault="00474AB9">
      <w:pPr>
        <w:rPr>
          <w:lang w:val="ru-RU"/>
        </w:rPr>
      </w:pPr>
      <w:r w:rsidRPr="00BE6C3C">
        <w:rPr>
          <w:lang w:val="ru-RU"/>
        </w:rPr>
        <w:t xml:space="preserve">В модуле «Акционерный капитал» указываются условия внесения собственных средств учредителей. Собственный капитал проекта </w:t>
      </w:r>
      <w:r w:rsidRPr="00BE6C3C">
        <w:rPr>
          <w:lang w:val="ru-RU"/>
        </w:rPr>
        <w:lastRenderedPageBreak/>
        <w:t>составляет 3 000 000 рублей, вносимых единовременно в месяце старта проекта (сентябрь 2026).</w:t>
      </w:r>
    </w:p>
    <w:p w14:paraId="35C628BF" w14:textId="77777777" w:rsidR="006A6139" w:rsidRDefault="006A6139">
      <w:pPr>
        <w:pStyle w:val="FC"/>
        <w:rPr>
          <w:lang w:val="ru-RU"/>
        </w:rPr>
      </w:pPr>
      <w:r w:rsidRPr="006A6139">
        <w:rPr>
          <w:rFonts w:cs="Liberation Serif"/>
          <w:color w:val="000000"/>
          <w:sz w:val="28"/>
          <w:lang w:val="ru-RU"/>
        </w:rPr>
        <w:drawing>
          <wp:inline distT="0" distB="0" distL="0" distR="0" wp14:anchorId="62DB4DC2" wp14:editId="1242F594">
            <wp:extent cx="5153744" cy="3134162"/>
            <wp:effectExtent l="0" t="0" r="889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3744" cy="3134162"/>
                    </a:xfrm>
                    <a:prstGeom prst="rect">
                      <a:avLst/>
                    </a:prstGeom>
                  </pic:spPr>
                </pic:pic>
              </a:graphicData>
            </a:graphic>
          </wp:inline>
        </w:drawing>
      </w:r>
    </w:p>
    <w:p w14:paraId="572B79AD" w14:textId="2DD3EA09" w:rsidR="001F7619" w:rsidRPr="00BE6C3C" w:rsidRDefault="00474AB9">
      <w:pPr>
        <w:pStyle w:val="FC"/>
        <w:rPr>
          <w:lang w:val="ru-RU"/>
        </w:rPr>
      </w:pPr>
      <w:r w:rsidRPr="00BE6C3C">
        <w:rPr>
          <w:lang w:val="ru-RU"/>
        </w:rPr>
        <w:t>Рисунок 17 – Модуль «Акционерный капитал»</w:t>
      </w:r>
    </w:p>
    <w:p w14:paraId="39E7C940" w14:textId="77777777" w:rsidR="001F7619" w:rsidRPr="00BE6C3C" w:rsidRDefault="00474AB9">
      <w:pPr>
        <w:rPr>
          <w:lang w:val="ru-RU"/>
        </w:rPr>
      </w:pPr>
      <w:r w:rsidRPr="00BE6C3C">
        <w:rPr>
          <w:lang w:val="ru-RU"/>
        </w:rPr>
        <w:t xml:space="preserve">В модуле «Кредиты» (Займы) оформляется привлечение заёмных средств. Для финансирования проекта привлекается кредит МСП в размере 2 000 000 рублей на следующих условиях: процентная ставка </w:t>
      </w:r>
      <w:r w:rsidRPr="00BE6C3C">
        <w:rPr>
          <w:lang w:val="ru-RU"/>
        </w:rPr>
        <w:t>12% годовых, срок кредитования 36 месяцев, схема погашения – аннуитетные (равные ежемесячные) платежи. Расчётный ежемесячный платёж по кредиту составляет приблизительно 66 400 рублей.</w:t>
      </w:r>
    </w:p>
    <w:p w14:paraId="1D78D7F9" w14:textId="77777777" w:rsidR="006A6139" w:rsidRDefault="006A6139">
      <w:pPr>
        <w:pStyle w:val="FC"/>
        <w:rPr>
          <w:lang w:val="ru-RU"/>
        </w:rPr>
      </w:pPr>
      <w:r w:rsidRPr="006A6139">
        <w:rPr>
          <w:rFonts w:cs="Liberation Serif"/>
          <w:color w:val="000000"/>
          <w:sz w:val="28"/>
          <w:lang w:val="ru-RU"/>
        </w:rPr>
        <w:lastRenderedPageBreak/>
        <w:drawing>
          <wp:inline distT="0" distB="0" distL="0" distR="0" wp14:anchorId="29FE85C3" wp14:editId="245E5BD0">
            <wp:extent cx="5353797" cy="339137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3797" cy="3391373"/>
                    </a:xfrm>
                    <a:prstGeom prst="rect">
                      <a:avLst/>
                    </a:prstGeom>
                  </pic:spPr>
                </pic:pic>
              </a:graphicData>
            </a:graphic>
          </wp:inline>
        </w:drawing>
      </w:r>
    </w:p>
    <w:p w14:paraId="5270B845" w14:textId="52F50976" w:rsidR="001F7619" w:rsidRPr="00BE6C3C" w:rsidRDefault="00474AB9">
      <w:pPr>
        <w:pStyle w:val="FC"/>
        <w:rPr>
          <w:lang w:val="ru-RU"/>
        </w:rPr>
      </w:pPr>
      <w:r w:rsidRPr="00BE6C3C">
        <w:rPr>
          <w:lang w:val="ru-RU"/>
        </w:rPr>
        <w:t>Рисунок 18 – Модуль «Кредиты»</w:t>
      </w:r>
    </w:p>
    <w:p w14:paraId="495A1ABD" w14:textId="77777777" w:rsidR="001F7619" w:rsidRPr="00BE6C3C" w:rsidRDefault="00474AB9">
      <w:pPr>
        <w:pStyle w:val="31"/>
        <w:rPr>
          <w:lang w:val="ru-RU"/>
        </w:rPr>
      </w:pPr>
      <w:r w:rsidRPr="00BE6C3C">
        <w:rPr>
          <w:lang w:val="ru-RU"/>
        </w:rPr>
        <w:t>3.4.6 Ан</w:t>
      </w:r>
      <w:r w:rsidRPr="00BE6C3C">
        <w:rPr>
          <w:lang w:val="ru-RU"/>
        </w:rPr>
        <w:t>ализ проекта</w:t>
      </w:r>
    </w:p>
    <w:p w14:paraId="20C09F2D" w14:textId="79BDBD21" w:rsidR="001F7619" w:rsidRDefault="00474AB9">
      <w:pPr>
        <w:rPr>
          <w:lang w:val="ru-RU"/>
        </w:rPr>
      </w:pPr>
      <w:r w:rsidRPr="00BE6C3C">
        <w:rPr>
          <w:lang w:val="ru-RU"/>
        </w:rPr>
        <w:t xml:space="preserve">После определения основных параметров и условий финансирования система </w:t>
      </w:r>
      <w:r>
        <w:t>Project</w:t>
      </w:r>
      <w:r w:rsidRPr="00BE6C3C">
        <w:rPr>
          <w:lang w:val="ru-RU"/>
        </w:rPr>
        <w:t xml:space="preserve"> </w:t>
      </w:r>
      <w:r>
        <w:t>Expert</w:t>
      </w:r>
      <w:r w:rsidRPr="00BE6C3C">
        <w:rPr>
          <w:lang w:val="ru-RU"/>
        </w:rPr>
        <w:t xml:space="preserve"> выполняет сквозную имитационную симуляцию хозяйственной деятельности предприятия и автоматически формирует прогнозные финансовые отчёты. На рисунке ниже пред</w:t>
      </w:r>
      <w:r w:rsidRPr="00BE6C3C">
        <w:rPr>
          <w:lang w:val="ru-RU"/>
        </w:rPr>
        <w:t>ставлена динамика доходов и расходов проекта за трёхлетний горизонт планирования.</w:t>
      </w:r>
    </w:p>
    <w:p w14:paraId="2780C42C" w14:textId="7386AB69" w:rsidR="00445FEA" w:rsidRPr="00BE6C3C" w:rsidRDefault="00445FEA" w:rsidP="00445FEA">
      <w:pPr>
        <w:rPr>
          <w:lang w:val="ru-RU"/>
        </w:rPr>
      </w:pPr>
      <w:r w:rsidRPr="00445FEA">
        <w:rPr>
          <w:lang w:val="ru-RU"/>
        </w:rPr>
        <w:lastRenderedPageBreak/>
        <w:drawing>
          <wp:inline distT="0" distB="0" distL="0" distR="0" wp14:anchorId="457E9C28" wp14:editId="1B0A119B">
            <wp:extent cx="6152515" cy="4587240"/>
            <wp:effectExtent l="0" t="0" r="635"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4587240"/>
                    </a:xfrm>
                    <a:prstGeom prst="rect">
                      <a:avLst/>
                    </a:prstGeom>
                  </pic:spPr>
                </pic:pic>
              </a:graphicData>
            </a:graphic>
          </wp:inline>
        </w:drawing>
      </w:r>
    </w:p>
    <w:p w14:paraId="640F3863" w14:textId="355ADC2F" w:rsidR="001F7619" w:rsidRPr="00BE6C3C" w:rsidRDefault="00474AB9">
      <w:pPr>
        <w:pStyle w:val="FC"/>
        <w:rPr>
          <w:lang w:val="ru-RU"/>
        </w:rPr>
      </w:pPr>
      <w:r w:rsidRPr="00BE6C3C">
        <w:rPr>
          <w:lang w:val="ru-RU"/>
        </w:rPr>
        <w:t>Рисунок 19 – Динамика доходов и расходов проекта</w:t>
      </w:r>
    </w:p>
    <w:p w14:paraId="36F325ED" w14:textId="77777777" w:rsidR="001F7619" w:rsidRPr="00BE6C3C" w:rsidRDefault="00474AB9">
      <w:pPr>
        <w:rPr>
          <w:lang w:val="ru-RU"/>
        </w:rPr>
      </w:pPr>
      <w:r w:rsidRPr="00BE6C3C">
        <w:rPr>
          <w:lang w:val="ru-RU"/>
        </w:rPr>
        <w:t>Результаты расчётов демонстрируют следующие интегральные показатели инвестиционной эффектив</w:t>
      </w:r>
      <w:r w:rsidRPr="00BE6C3C">
        <w:rPr>
          <w:lang w:val="ru-RU"/>
        </w:rPr>
        <w:t>ности проекта. Анализ данных позволяет сделать вывод о том, что проект является экономически целесообразным и привлекательным для инвесторов. Ключевые критерии эффективности:</w:t>
      </w:r>
    </w:p>
    <w:p w14:paraId="2902C785" w14:textId="77777777" w:rsidR="001F7619" w:rsidRPr="00BE6C3C" w:rsidRDefault="00474AB9">
      <w:pPr>
        <w:rPr>
          <w:lang w:val="ru-RU"/>
        </w:rPr>
      </w:pPr>
      <w:r w:rsidRPr="00BE6C3C">
        <w:rPr>
          <w:lang w:val="ru-RU"/>
        </w:rPr>
        <w:t>– Дисконтированный срок окупаемости (</w:t>
      </w:r>
      <w:r>
        <w:t>DPP</w:t>
      </w:r>
      <w:r w:rsidRPr="00BE6C3C">
        <w:rPr>
          <w:lang w:val="ru-RU"/>
        </w:rPr>
        <w:t xml:space="preserve">) – [ЗНАЧЕНИЕ ИЗ </w:t>
      </w:r>
      <w:r>
        <w:t>PE</w:t>
      </w:r>
      <w:r w:rsidRPr="00BE6C3C">
        <w:rPr>
          <w:lang w:val="ru-RU"/>
        </w:rPr>
        <w:t>] месяцев при общей дл</w:t>
      </w:r>
      <w:r w:rsidRPr="00BE6C3C">
        <w:rPr>
          <w:lang w:val="ru-RU"/>
        </w:rPr>
        <w:t>ительности проекта 36 месяцев, что означает возврат вложенных средств с учётом временной стоимости денег;</w:t>
      </w:r>
    </w:p>
    <w:p w14:paraId="6AAD0BA9" w14:textId="77777777" w:rsidR="001F7619" w:rsidRPr="00BE6C3C" w:rsidRDefault="00474AB9">
      <w:pPr>
        <w:rPr>
          <w:lang w:val="ru-RU"/>
        </w:rPr>
      </w:pPr>
      <w:r w:rsidRPr="00BE6C3C">
        <w:rPr>
          <w:lang w:val="ru-RU"/>
        </w:rPr>
        <w:t>– Индекс прибыльности (</w:t>
      </w:r>
      <w:r>
        <w:t>PI</w:t>
      </w:r>
      <w:r w:rsidRPr="00BE6C3C">
        <w:rPr>
          <w:lang w:val="ru-RU"/>
        </w:rPr>
        <w:t xml:space="preserve">) – [ЗНАЧЕНИЕ ИЗ </w:t>
      </w:r>
      <w:r>
        <w:t>PE</w:t>
      </w:r>
      <w:r w:rsidRPr="00BE6C3C">
        <w:rPr>
          <w:lang w:val="ru-RU"/>
        </w:rPr>
        <w:t>], то есть каждый вложенный рубль генерирует [</w:t>
      </w:r>
      <w:r>
        <w:t>X</w:t>
      </w:r>
      <w:r w:rsidRPr="00BE6C3C">
        <w:rPr>
          <w:lang w:val="ru-RU"/>
        </w:rPr>
        <w:t>] копеек дисконтированного дохода;</w:t>
      </w:r>
    </w:p>
    <w:p w14:paraId="0BA54424" w14:textId="77777777" w:rsidR="001F7619" w:rsidRPr="00BE6C3C" w:rsidRDefault="00474AB9">
      <w:pPr>
        <w:rPr>
          <w:lang w:val="ru-RU"/>
        </w:rPr>
      </w:pPr>
      <w:r w:rsidRPr="00BE6C3C">
        <w:rPr>
          <w:lang w:val="ru-RU"/>
        </w:rPr>
        <w:lastRenderedPageBreak/>
        <w:t>– Чистый дисконтированны</w:t>
      </w:r>
      <w:r w:rsidRPr="00BE6C3C">
        <w:rPr>
          <w:lang w:val="ru-RU"/>
        </w:rPr>
        <w:t>й доход (</w:t>
      </w:r>
      <w:r>
        <w:t>NPV</w:t>
      </w:r>
      <w:r w:rsidRPr="00BE6C3C">
        <w:rPr>
          <w:lang w:val="ru-RU"/>
        </w:rPr>
        <w:t xml:space="preserve">) – положительный, составляет [ЗНАЧЕНИЕ ИЗ </w:t>
      </w:r>
      <w:r>
        <w:t>PE</w:t>
      </w:r>
      <w:r w:rsidRPr="00BE6C3C">
        <w:rPr>
          <w:lang w:val="ru-RU"/>
        </w:rPr>
        <w:t>] рублей;</w:t>
      </w:r>
    </w:p>
    <w:p w14:paraId="5E33C236" w14:textId="77777777" w:rsidR="001F7619" w:rsidRPr="00BE6C3C" w:rsidRDefault="00474AB9">
      <w:pPr>
        <w:rPr>
          <w:lang w:val="ru-RU"/>
        </w:rPr>
      </w:pPr>
      <w:r w:rsidRPr="00BE6C3C">
        <w:rPr>
          <w:lang w:val="ru-RU"/>
        </w:rPr>
        <w:t>– Внутренняя норма доходности (</w:t>
      </w:r>
      <w:r>
        <w:t>IRR</w:t>
      </w:r>
      <w:r w:rsidRPr="00BE6C3C">
        <w:rPr>
          <w:lang w:val="ru-RU"/>
        </w:rPr>
        <w:t xml:space="preserve">) – [ЗНАЧЕНИЕ ИЗ </w:t>
      </w:r>
      <w:r>
        <w:t>PE</w:t>
      </w:r>
      <w:r w:rsidRPr="00BE6C3C">
        <w:rPr>
          <w:lang w:val="ru-RU"/>
        </w:rPr>
        <w:t>]%, что превышает ставку дисконтирования (16%) и подтверждает экономическую целесообразность проекта.</w:t>
      </w:r>
    </w:p>
    <w:p w14:paraId="716B859A" w14:textId="77777777" w:rsidR="00445FEA" w:rsidRDefault="00445FEA">
      <w:pPr>
        <w:pStyle w:val="FC"/>
        <w:rPr>
          <w:lang w:val="ru-RU"/>
        </w:rPr>
      </w:pPr>
      <w:r w:rsidRPr="00445FEA">
        <w:rPr>
          <w:rFonts w:cs="Liberation Serif"/>
          <w:color w:val="000000"/>
          <w:sz w:val="28"/>
          <w:lang w:val="ru-RU"/>
        </w:rPr>
        <w:drawing>
          <wp:inline distT="0" distB="0" distL="0" distR="0" wp14:anchorId="1693FB8A" wp14:editId="4625A91C">
            <wp:extent cx="4163006" cy="4210638"/>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63006" cy="4210638"/>
                    </a:xfrm>
                    <a:prstGeom prst="rect">
                      <a:avLst/>
                    </a:prstGeom>
                  </pic:spPr>
                </pic:pic>
              </a:graphicData>
            </a:graphic>
          </wp:inline>
        </w:drawing>
      </w:r>
    </w:p>
    <w:p w14:paraId="7C81E973" w14:textId="2DD5780E" w:rsidR="001F7619" w:rsidRPr="00BE6C3C" w:rsidRDefault="00474AB9">
      <w:pPr>
        <w:pStyle w:val="FC"/>
        <w:rPr>
          <w:lang w:val="ru-RU"/>
        </w:rPr>
      </w:pPr>
      <w:r w:rsidRPr="00BE6C3C">
        <w:rPr>
          <w:lang w:val="ru-RU"/>
        </w:rPr>
        <w:t>Рисунок 20 – Эффективность инвестиций</w:t>
      </w:r>
    </w:p>
    <w:p w14:paraId="1EE5EE66" w14:textId="77777777" w:rsidR="001F7619" w:rsidRPr="00BE6C3C" w:rsidRDefault="00474AB9">
      <w:pPr>
        <w:rPr>
          <w:lang w:val="ru-RU"/>
        </w:rPr>
      </w:pPr>
      <w:r w:rsidRPr="00BE6C3C">
        <w:rPr>
          <w:lang w:val="ru-RU"/>
        </w:rPr>
        <w:t>Ниже на графике представлена динамика окупаемости проекта – визуализация момента, в который накопленный дисконтированный денежный поток переходит из отрицательной в положительную область.</w:t>
      </w:r>
    </w:p>
    <w:p w14:paraId="3061E38C" w14:textId="42F35F61" w:rsidR="001F7619" w:rsidRPr="00BE6C3C" w:rsidRDefault="00445FEA">
      <w:pPr>
        <w:pStyle w:val="FC"/>
        <w:rPr>
          <w:lang w:val="ru-RU"/>
        </w:rPr>
      </w:pPr>
      <w:r w:rsidRPr="00445FEA">
        <w:rPr>
          <w:rFonts w:cs="Liberation Serif"/>
          <w:color w:val="000000"/>
          <w:sz w:val="28"/>
          <w:lang w:val="ru-RU"/>
        </w:rPr>
        <w:lastRenderedPageBreak/>
        <w:drawing>
          <wp:inline distT="0" distB="0" distL="0" distR="0" wp14:anchorId="0D9EF3B8" wp14:editId="10794E30">
            <wp:extent cx="6152515" cy="4379595"/>
            <wp:effectExtent l="0" t="0" r="635"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4379595"/>
                    </a:xfrm>
                    <a:prstGeom prst="rect">
                      <a:avLst/>
                    </a:prstGeom>
                  </pic:spPr>
                </pic:pic>
              </a:graphicData>
            </a:graphic>
          </wp:inline>
        </w:drawing>
      </w:r>
      <w:r w:rsidR="00474AB9" w:rsidRPr="00BE6C3C">
        <w:rPr>
          <w:lang w:val="ru-RU"/>
        </w:rPr>
        <w:t>Рисунок 21 – График окупаемости проекта</w:t>
      </w:r>
    </w:p>
    <w:p w14:paraId="3663331F" w14:textId="77777777" w:rsidR="001F7619" w:rsidRPr="00BE6C3C" w:rsidRDefault="00474AB9">
      <w:pPr>
        <w:rPr>
          <w:lang w:val="ru-RU"/>
        </w:rPr>
      </w:pPr>
      <w:r w:rsidRPr="00BE6C3C">
        <w:rPr>
          <w:lang w:val="ru-RU"/>
        </w:rPr>
        <w:t>В таблице ниже представлен фрагмент прогнозного отчёта о движении денежных средств (</w:t>
      </w:r>
      <w:r>
        <w:t>Cash</w:t>
      </w:r>
      <w:r w:rsidRPr="00BE6C3C">
        <w:rPr>
          <w:lang w:val="ru-RU"/>
        </w:rPr>
        <w:t xml:space="preserve"> </w:t>
      </w:r>
      <w:r>
        <w:t>Flow</w:t>
      </w:r>
      <w:r w:rsidRPr="00BE6C3C">
        <w:rPr>
          <w:lang w:val="ru-RU"/>
        </w:rPr>
        <w:t>) за первый год операционной деятельности, демонстрирующий помесячную динамику притоков и оттоков.</w:t>
      </w:r>
    </w:p>
    <w:p w14:paraId="08037748" w14:textId="782F4B83" w:rsidR="001F7619" w:rsidRPr="00BE6C3C" w:rsidRDefault="00445FEA">
      <w:pPr>
        <w:pStyle w:val="FC"/>
        <w:rPr>
          <w:lang w:val="ru-RU"/>
        </w:rPr>
      </w:pPr>
      <w:r w:rsidRPr="00445FEA">
        <w:rPr>
          <w:rFonts w:cs="Liberation Serif"/>
          <w:color w:val="000000"/>
          <w:sz w:val="28"/>
          <w:lang w:val="ru-RU"/>
        </w:rPr>
        <w:lastRenderedPageBreak/>
        <w:drawing>
          <wp:inline distT="0" distB="0" distL="0" distR="0" wp14:anchorId="4970E8E2" wp14:editId="55F4AD7B">
            <wp:extent cx="6152515" cy="3373120"/>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3373120"/>
                    </a:xfrm>
                    <a:prstGeom prst="rect">
                      <a:avLst/>
                    </a:prstGeom>
                  </pic:spPr>
                </pic:pic>
              </a:graphicData>
            </a:graphic>
          </wp:inline>
        </w:drawing>
      </w:r>
      <w:r w:rsidR="00474AB9" w:rsidRPr="00BE6C3C">
        <w:rPr>
          <w:lang w:val="ru-RU"/>
        </w:rPr>
        <w:t xml:space="preserve">Рисунок 22 – Фрагмент отчёта </w:t>
      </w:r>
      <w:r w:rsidR="00474AB9">
        <w:t>Cash</w:t>
      </w:r>
      <w:r w:rsidR="00474AB9" w:rsidRPr="00BE6C3C">
        <w:rPr>
          <w:lang w:val="ru-RU"/>
        </w:rPr>
        <w:t xml:space="preserve"> </w:t>
      </w:r>
      <w:r w:rsidR="00474AB9">
        <w:t>Flow</w:t>
      </w:r>
    </w:p>
    <w:p w14:paraId="0803CB98" w14:textId="77777777" w:rsidR="001F7619" w:rsidRPr="00BE6C3C" w:rsidRDefault="00474AB9">
      <w:pPr>
        <w:rPr>
          <w:lang w:val="ru-RU"/>
        </w:rPr>
      </w:pPr>
      <w:r w:rsidRPr="00BE6C3C">
        <w:rPr>
          <w:lang w:val="ru-RU"/>
        </w:rPr>
        <w:t>На основании представленных данных можно утверждать, что проект создания производственного предприятия ООО «</w:t>
      </w:r>
      <w:proofErr w:type="spellStart"/>
      <w:r w:rsidRPr="00BE6C3C">
        <w:rPr>
          <w:lang w:val="ru-RU"/>
        </w:rPr>
        <w:t>СигналПром</w:t>
      </w:r>
      <w:proofErr w:type="spellEnd"/>
      <w:r w:rsidRPr="00BE6C3C">
        <w:rPr>
          <w:lang w:val="ru-RU"/>
        </w:rPr>
        <w:t xml:space="preserve">» по выпуску комбинированных пожарных извещателей обладает высокой </w:t>
      </w:r>
      <w:r w:rsidRPr="00BE6C3C">
        <w:rPr>
          <w:lang w:val="ru-RU"/>
        </w:rPr>
        <w:t>экономической эффективностью и приемлемым уровнем инвестиционного риска.</w:t>
      </w:r>
    </w:p>
    <w:p w14:paraId="14A62FCF" w14:textId="77777777" w:rsidR="001F7619" w:rsidRPr="00BE6C3C" w:rsidRDefault="00474AB9">
      <w:pPr>
        <w:pStyle w:val="21"/>
        <w:rPr>
          <w:lang w:val="ru-RU"/>
        </w:rPr>
      </w:pPr>
      <w:r w:rsidRPr="00BE6C3C">
        <w:rPr>
          <w:lang w:val="ru-RU"/>
        </w:rPr>
        <w:t>3.5 Анализ чувствительности</w:t>
      </w:r>
    </w:p>
    <w:p w14:paraId="4684C468" w14:textId="77777777" w:rsidR="001F7619" w:rsidRPr="00BE6C3C" w:rsidRDefault="00474AB9">
      <w:pPr>
        <w:rPr>
          <w:lang w:val="ru-RU"/>
        </w:rPr>
      </w:pPr>
      <w:r w:rsidRPr="00BE6C3C">
        <w:rPr>
          <w:lang w:val="ru-RU"/>
        </w:rPr>
        <w:t>Оценка устойчивости проекта предполагает определение критических значений ключевых параметров, способных существенно повлиять на его экономическую эффектив</w:t>
      </w:r>
      <w:r w:rsidRPr="00BE6C3C">
        <w:rPr>
          <w:lang w:val="ru-RU"/>
        </w:rPr>
        <w:t>ность. Наибольшую значимость для проектируемого предприятия имеют следующие факторы: объём сбыта продукции, цена реализации и прямые издержки (себестоимость комплектующих). Чем шире диапазон, в котором эти показатели могут варьироваться без ущерба для рент</w:t>
      </w:r>
      <w:r w:rsidRPr="00BE6C3C">
        <w:rPr>
          <w:lang w:val="ru-RU"/>
        </w:rPr>
        <w:t>абельности, тем стабильнее проект и ниже риски, связанные с рыночными колебаниями.</w:t>
      </w:r>
    </w:p>
    <w:p w14:paraId="7960E948" w14:textId="124C023F" w:rsidR="00445FEA" w:rsidRDefault="00474AB9">
      <w:pPr>
        <w:pStyle w:val="FC"/>
        <w:rPr>
          <w:lang w:val="ru-RU"/>
        </w:rPr>
      </w:pPr>
      <w:r>
        <w:rPr>
          <w:noProof/>
        </w:rPr>
        <w:lastRenderedPageBreak/>
        <mc:AlternateContent>
          <mc:Choice Requires="wps">
            <w:drawing>
              <wp:inline distT="0" distB="0" distL="0" distR="0" wp14:anchorId="5EF3C76E" wp14:editId="5A97AF59">
                <wp:extent cx="304800" cy="304800"/>
                <wp:effectExtent l="0" t="0" r="0" b="0"/>
                <wp:docPr id="29" name="Прямоугольник 29" descr="Выбранное изображение показано в окне просмотр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19744" id="Прямоугольник 29" o:spid="_x0000_s1026" alt="Выбранное изображение показано в окне просмотр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MSTzNO&#10;AgAAOgQAAA4AAAAAAAAAAAAAAAAALgIAAGRycy9lMm9Eb2MueG1sUEsBAi0AFAAGAAgAAAAhAEyg&#10;6SzYAAAAAwEAAA8AAAAAAAAAAAAAAAAAqAQAAGRycy9kb3ducmV2LnhtbFBLBQYAAAAABAAEAPMA&#10;AACtBQAAAAA=&#10;" filled="f" stroked="f">
                <o:lock v:ext="edit" aspectratio="t"/>
                <w10:anchorlock/>
              </v:rect>
            </w:pict>
          </mc:Fallback>
        </mc:AlternateContent>
      </w:r>
      <w:r w:rsidRPr="00474AB9">
        <w:rPr>
          <w:lang w:val="ru-RU"/>
        </w:rPr>
        <w:drawing>
          <wp:inline distT="0" distB="0" distL="0" distR="0" wp14:anchorId="08FEEA48" wp14:editId="366E72E5">
            <wp:extent cx="5106113" cy="3458058"/>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6113" cy="3458058"/>
                    </a:xfrm>
                    <a:prstGeom prst="rect">
                      <a:avLst/>
                    </a:prstGeom>
                  </pic:spPr>
                </pic:pic>
              </a:graphicData>
            </a:graphic>
          </wp:inline>
        </w:drawing>
      </w:r>
    </w:p>
    <w:p w14:paraId="4CDC1150" w14:textId="5F9F327E" w:rsidR="001F7619" w:rsidRPr="00BE6C3C" w:rsidRDefault="00474AB9">
      <w:pPr>
        <w:pStyle w:val="FC"/>
        <w:rPr>
          <w:lang w:val="ru-RU"/>
        </w:rPr>
      </w:pPr>
      <w:r w:rsidRPr="00BE6C3C">
        <w:rPr>
          <w:lang w:val="ru-RU"/>
        </w:rPr>
        <w:t>Рисунок 23 – Модуль «Анализ чувствительности» – настройка параметров</w:t>
      </w:r>
    </w:p>
    <w:p w14:paraId="3190FA50" w14:textId="77777777" w:rsidR="001F7619" w:rsidRPr="00BE6C3C" w:rsidRDefault="00474AB9">
      <w:pPr>
        <w:rPr>
          <w:lang w:val="ru-RU"/>
        </w:rPr>
      </w:pPr>
      <w:r w:rsidRPr="00BE6C3C">
        <w:rPr>
          <w:lang w:val="ru-RU"/>
        </w:rPr>
        <w:t>В ходе анализа исследуется допустимое отклонение ключевых параметров (</w:t>
      </w:r>
      <w:r w:rsidRPr="00BE6C3C">
        <w:rPr>
          <w:lang w:val="ru-RU"/>
        </w:rPr>
        <w:t>в диапазоне от –20% до +20% от базового значения) и оценивается их влияние на основные критерии эффективности: чистый дисконтированный доход (</w:t>
      </w:r>
      <w:r>
        <w:t>NPV</w:t>
      </w:r>
      <w:r w:rsidRPr="00BE6C3C">
        <w:rPr>
          <w:lang w:val="ru-RU"/>
        </w:rPr>
        <w:t>), срок окупаемости (</w:t>
      </w:r>
      <w:r>
        <w:t>DPP</w:t>
      </w:r>
      <w:r w:rsidRPr="00BE6C3C">
        <w:rPr>
          <w:lang w:val="ru-RU"/>
        </w:rPr>
        <w:t>) и индекс прибыльности (</w:t>
      </w:r>
      <w:r>
        <w:t>PI</w:t>
      </w:r>
      <w:r w:rsidRPr="00BE6C3C">
        <w:rPr>
          <w:lang w:val="ru-RU"/>
        </w:rPr>
        <w:t>). Результаты представлены в виде графиков, наглядно демонст</w:t>
      </w:r>
      <w:r w:rsidRPr="00BE6C3C">
        <w:rPr>
          <w:lang w:val="ru-RU"/>
        </w:rPr>
        <w:t>рирующих предельные значения, при которых проект сохраняет свою целесообразность.</w:t>
      </w:r>
    </w:p>
    <w:p w14:paraId="0C5385D8" w14:textId="7897F117" w:rsidR="00445FEA" w:rsidRDefault="00DD3887">
      <w:pPr>
        <w:pStyle w:val="FC"/>
        <w:rPr>
          <w:lang w:val="ru-RU"/>
        </w:rPr>
      </w:pPr>
      <w:r w:rsidRPr="00DD3887">
        <w:rPr>
          <w:lang w:val="ru-RU"/>
        </w:rPr>
        <w:lastRenderedPageBreak/>
        <w:drawing>
          <wp:inline distT="0" distB="0" distL="0" distR="0" wp14:anchorId="7808F298" wp14:editId="5A0CFAE7">
            <wp:extent cx="6152515" cy="4359275"/>
            <wp:effectExtent l="0" t="0" r="635"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2515" cy="4359275"/>
                    </a:xfrm>
                    <a:prstGeom prst="rect">
                      <a:avLst/>
                    </a:prstGeom>
                  </pic:spPr>
                </pic:pic>
              </a:graphicData>
            </a:graphic>
          </wp:inline>
        </w:drawing>
      </w:r>
    </w:p>
    <w:p w14:paraId="19B6363E" w14:textId="30281251" w:rsidR="001F7619" w:rsidRPr="00BE6C3C" w:rsidRDefault="00474AB9">
      <w:pPr>
        <w:pStyle w:val="FC"/>
        <w:rPr>
          <w:lang w:val="ru-RU"/>
        </w:rPr>
      </w:pPr>
      <w:r w:rsidRPr="00BE6C3C">
        <w:rPr>
          <w:lang w:val="ru-RU"/>
        </w:rPr>
        <w:t xml:space="preserve">Рисунок 24 – Анализ чувствительности по </w:t>
      </w:r>
      <w:r>
        <w:t>NPV</w:t>
      </w:r>
    </w:p>
    <w:p w14:paraId="580AAFAC" w14:textId="0AE88FC4" w:rsidR="00DD3887" w:rsidRDefault="00DD3887">
      <w:pPr>
        <w:pStyle w:val="FC"/>
        <w:rPr>
          <w:lang w:val="ru-RU"/>
        </w:rPr>
      </w:pPr>
      <w:r w:rsidRPr="00DD3887">
        <w:rPr>
          <w:lang w:val="ru-RU"/>
        </w:rPr>
        <w:lastRenderedPageBreak/>
        <w:drawing>
          <wp:inline distT="0" distB="0" distL="0" distR="0" wp14:anchorId="16E01890" wp14:editId="5295F4BD">
            <wp:extent cx="6152515" cy="4444365"/>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2515" cy="4444365"/>
                    </a:xfrm>
                    <a:prstGeom prst="rect">
                      <a:avLst/>
                    </a:prstGeom>
                  </pic:spPr>
                </pic:pic>
              </a:graphicData>
            </a:graphic>
          </wp:inline>
        </w:drawing>
      </w:r>
    </w:p>
    <w:p w14:paraId="383EC00F" w14:textId="3F025885" w:rsidR="001F7619" w:rsidRPr="00BE6C3C" w:rsidRDefault="00474AB9">
      <w:pPr>
        <w:pStyle w:val="FC"/>
        <w:rPr>
          <w:lang w:val="ru-RU"/>
        </w:rPr>
      </w:pPr>
      <w:r w:rsidRPr="00BE6C3C">
        <w:rPr>
          <w:lang w:val="ru-RU"/>
        </w:rPr>
        <w:t xml:space="preserve">Рисунок 25 – Анализ чувствительности по </w:t>
      </w:r>
      <w:r>
        <w:t>DPP</w:t>
      </w:r>
    </w:p>
    <w:p w14:paraId="747F8F4C" w14:textId="261CFE4E" w:rsidR="00DD3887" w:rsidRDefault="00DD3887">
      <w:pPr>
        <w:pStyle w:val="FC"/>
        <w:rPr>
          <w:rFonts w:cs="Liberation Serif"/>
          <w:color w:val="000000"/>
          <w:sz w:val="28"/>
          <w:lang w:val="ru-RU"/>
        </w:rPr>
      </w:pPr>
      <w:r w:rsidRPr="00DD3887">
        <w:rPr>
          <w:rFonts w:cs="Liberation Serif"/>
          <w:color w:val="000000"/>
          <w:sz w:val="28"/>
          <w:lang w:val="ru-RU"/>
        </w:rPr>
        <w:lastRenderedPageBreak/>
        <w:drawing>
          <wp:inline distT="0" distB="0" distL="0" distR="0" wp14:anchorId="4154BE91" wp14:editId="54D46A76">
            <wp:extent cx="6152515" cy="4318635"/>
            <wp:effectExtent l="0" t="0" r="63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2515" cy="4318635"/>
                    </a:xfrm>
                    <a:prstGeom prst="rect">
                      <a:avLst/>
                    </a:prstGeom>
                  </pic:spPr>
                </pic:pic>
              </a:graphicData>
            </a:graphic>
          </wp:inline>
        </w:drawing>
      </w:r>
    </w:p>
    <w:p w14:paraId="66CDE5E7" w14:textId="30241D2A" w:rsidR="001F7619" w:rsidRPr="00BE6C3C" w:rsidRDefault="00474AB9">
      <w:pPr>
        <w:pStyle w:val="FC"/>
        <w:rPr>
          <w:lang w:val="ru-RU"/>
        </w:rPr>
      </w:pPr>
      <w:r w:rsidRPr="00BE6C3C">
        <w:rPr>
          <w:lang w:val="ru-RU"/>
        </w:rPr>
        <w:t xml:space="preserve">Рисунок 26 – Анализ чувствительности по </w:t>
      </w:r>
      <w:r>
        <w:t>PI</w:t>
      </w:r>
    </w:p>
    <w:p w14:paraId="03F9BC18" w14:textId="77777777" w:rsidR="001F7619" w:rsidRPr="00BE6C3C" w:rsidRDefault="00474AB9">
      <w:pPr>
        <w:rPr>
          <w:lang w:val="ru-RU"/>
        </w:rPr>
      </w:pPr>
      <w:r w:rsidRPr="00BE6C3C">
        <w:rPr>
          <w:lang w:val="ru-RU"/>
        </w:rPr>
        <w:t xml:space="preserve">Результаты анализа чувствительности показывают, что наиболее существенное влияние на эффективность проекта оказывает параметр «объём сбыта». Для поддержания положительного значения </w:t>
      </w:r>
      <w:r>
        <w:t>NPV</w:t>
      </w:r>
      <w:r w:rsidRPr="00BE6C3C">
        <w:rPr>
          <w:lang w:val="ru-RU"/>
        </w:rPr>
        <w:t xml:space="preserve"> и индекса пр</w:t>
      </w:r>
      <w:r w:rsidRPr="00BE6C3C">
        <w:rPr>
          <w:lang w:val="ru-RU"/>
        </w:rPr>
        <w:t xml:space="preserve">ибыльности выше единицы максимально допустимое снижение объёма продаж составляет [ЗНАЧЕНИЕ ИЗ </w:t>
      </w:r>
      <w:r>
        <w:t>PE</w:t>
      </w:r>
      <w:r w:rsidRPr="00BE6C3C">
        <w:rPr>
          <w:lang w:val="ru-RU"/>
        </w:rPr>
        <w:t xml:space="preserve">]% от планового уровня. Снижение цены реализации критично при отклонении более [ЗНАЧЕНИЕ ИЗ </w:t>
      </w:r>
      <w:r>
        <w:t>PE</w:t>
      </w:r>
      <w:r w:rsidRPr="00BE6C3C">
        <w:rPr>
          <w:lang w:val="ru-RU"/>
        </w:rPr>
        <w:t>]%. Рост себестоимости комплектующих допустим в пределах [ЗНАЧЕНИЕ</w:t>
      </w:r>
      <w:r w:rsidRPr="00BE6C3C">
        <w:rPr>
          <w:lang w:val="ru-RU"/>
        </w:rPr>
        <w:t xml:space="preserve"> ИЗ </w:t>
      </w:r>
      <w:r>
        <w:t>PE</w:t>
      </w:r>
      <w:r w:rsidRPr="00BE6C3C">
        <w:rPr>
          <w:lang w:val="ru-RU"/>
        </w:rPr>
        <w:t>]% без потери рентабельности.</w:t>
      </w:r>
    </w:p>
    <w:p w14:paraId="1EB18AC9" w14:textId="77777777" w:rsidR="001F7619" w:rsidRPr="00BE6C3C" w:rsidRDefault="00474AB9">
      <w:pPr>
        <w:rPr>
          <w:lang w:val="ru-RU"/>
        </w:rPr>
      </w:pPr>
      <w:r w:rsidRPr="00BE6C3C">
        <w:rPr>
          <w:lang w:val="ru-RU"/>
        </w:rPr>
        <w:t xml:space="preserve">Проведённый анализ подтверждает, что при маржинальности продукции на уровне 79% (отпускная цена 1 800 руб. при себестоимости 382 руб.) проект обладает значительным запасом финансовой прочности и </w:t>
      </w:r>
      <w:r w:rsidRPr="00BE6C3C">
        <w:rPr>
          <w:lang w:val="ru-RU"/>
        </w:rPr>
        <w:lastRenderedPageBreak/>
        <w:t>способен сохранять эконом</w:t>
      </w:r>
      <w:r w:rsidRPr="00BE6C3C">
        <w:rPr>
          <w:lang w:val="ru-RU"/>
        </w:rPr>
        <w:t>ическую целесообразность даже при существенных неблагоприятных отклонениях рыночной конъюнктуры.</w:t>
      </w:r>
    </w:p>
    <w:p w14:paraId="1C25FEFD" w14:textId="77777777" w:rsidR="001F7619" w:rsidRPr="00BE6C3C" w:rsidRDefault="00474AB9">
      <w:pPr>
        <w:pStyle w:val="1"/>
        <w:rPr>
          <w:lang w:val="ru-RU"/>
        </w:rPr>
      </w:pPr>
      <w:r w:rsidRPr="00BE6C3C">
        <w:rPr>
          <w:lang w:val="ru-RU"/>
        </w:rPr>
        <w:lastRenderedPageBreak/>
        <w:t>4. Выводы по эффективности предложения</w:t>
      </w:r>
    </w:p>
    <w:p w14:paraId="78B3EBB3" w14:textId="77777777" w:rsidR="001F7619" w:rsidRPr="00BE6C3C" w:rsidRDefault="00474AB9">
      <w:pPr>
        <w:rPr>
          <w:lang w:val="ru-RU"/>
        </w:rPr>
      </w:pPr>
      <w:r w:rsidRPr="00BE6C3C">
        <w:rPr>
          <w:lang w:val="ru-RU"/>
        </w:rPr>
        <w:t>В результате реализации инвестиционного проекта будет создано малое производственное предприятие ООО «</w:t>
      </w:r>
      <w:proofErr w:type="spellStart"/>
      <w:r w:rsidRPr="00BE6C3C">
        <w:rPr>
          <w:lang w:val="ru-RU"/>
        </w:rPr>
        <w:t>СигналПром</w:t>
      </w:r>
      <w:proofErr w:type="spellEnd"/>
      <w:r w:rsidRPr="00BE6C3C">
        <w:rPr>
          <w:lang w:val="ru-RU"/>
        </w:rPr>
        <w:t>», специ</w:t>
      </w:r>
      <w:r w:rsidRPr="00BE6C3C">
        <w:rPr>
          <w:lang w:val="ru-RU"/>
        </w:rPr>
        <w:t xml:space="preserve">ализирующееся на выпуске комбинированных </w:t>
      </w:r>
      <w:proofErr w:type="spellStart"/>
      <w:r w:rsidRPr="00BE6C3C">
        <w:rPr>
          <w:lang w:val="ru-RU"/>
        </w:rPr>
        <w:t>дымо</w:t>
      </w:r>
      <w:proofErr w:type="spellEnd"/>
      <w:r w:rsidRPr="00BE6C3C">
        <w:rPr>
          <w:lang w:val="ru-RU"/>
        </w:rPr>
        <w:t xml:space="preserve">-тепловых пожарных извещателей для </w:t>
      </w:r>
      <w:r>
        <w:t>B</w:t>
      </w:r>
      <w:r w:rsidRPr="00BE6C3C">
        <w:rPr>
          <w:lang w:val="ru-RU"/>
        </w:rPr>
        <w:t>2</w:t>
      </w:r>
      <w:r>
        <w:t>B</w:t>
      </w:r>
      <w:r w:rsidRPr="00BE6C3C">
        <w:rPr>
          <w:lang w:val="ru-RU"/>
        </w:rPr>
        <w:t xml:space="preserve">-сегмента монтажных организаций. Предприятие размещается на производственной площадке площадью 142,5 м² по адресу: г. Рязань, ул. </w:t>
      </w:r>
      <w:proofErr w:type="spellStart"/>
      <w:r w:rsidRPr="00BE6C3C">
        <w:rPr>
          <w:lang w:val="ru-RU"/>
        </w:rPr>
        <w:t>Радиозаводская</w:t>
      </w:r>
      <w:proofErr w:type="spellEnd"/>
      <w:r w:rsidRPr="00BE6C3C">
        <w:rPr>
          <w:lang w:val="ru-RU"/>
        </w:rPr>
        <w:t>, д. 2. Проектная мощность со</w:t>
      </w:r>
      <w:r w:rsidRPr="00BE6C3C">
        <w:rPr>
          <w:lang w:val="ru-RU"/>
        </w:rPr>
        <w:t>ставляет 700 изделий в месяц (8 400 изделий в год) с выходом на полную загрузку в течение 12 месяцев операционной деятельности.</w:t>
      </w:r>
    </w:p>
    <w:p w14:paraId="29663049" w14:textId="77777777" w:rsidR="001F7619" w:rsidRPr="00BE6C3C" w:rsidRDefault="00474AB9">
      <w:pPr>
        <w:rPr>
          <w:lang w:val="ru-RU"/>
        </w:rPr>
      </w:pPr>
      <w:r w:rsidRPr="00BE6C3C">
        <w:rPr>
          <w:lang w:val="ru-RU"/>
        </w:rPr>
        <w:t xml:space="preserve">Ключевым технологическим решением проекта является модель гибридной автоматизации: капиталоёмкие операции </w:t>
      </w:r>
      <w:r>
        <w:t>SMT</w:t>
      </w:r>
      <w:r w:rsidRPr="00BE6C3C">
        <w:rPr>
          <w:lang w:val="ru-RU"/>
        </w:rPr>
        <w:t>-монтажа печатных п</w:t>
      </w:r>
      <w:r w:rsidRPr="00BE6C3C">
        <w:rPr>
          <w:lang w:val="ru-RU"/>
        </w:rPr>
        <w:t>лат и литья пластиковых корпусов передаются на контрактное производство, а на собственной площадке реализуется 100% автоматизированный выходной контроль качества каждого изделия на комбинированном стенде «СИ–ТДК». Данный подход обеспечивает конкурентное пр</w:t>
      </w:r>
      <w:r w:rsidRPr="00BE6C3C">
        <w:rPr>
          <w:lang w:val="ru-RU"/>
        </w:rPr>
        <w:t>еимущество перед крупными производителями, применяющими статистический выборочный контроль, и позволяет гарантировать заказчикам отсутствие скрытого производственного брака.</w:t>
      </w:r>
    </w:p>
    <w:p w14:paraId="5057168B" w14:textId="77777777" w:rsidR="001F7619" w:rsidRPr="00BE6C3C" w:rsidRDefault="00474AB9">
      <w:pPr>
        <w:rPr>
          <w:lang w:val="ru-RU"/>
        </w:rPr>
      </w:pPr>
      <w:r w:rsidRPr="00BE6C3C">
        <w:rPr>
          <w:lang w:val="ru-RU"/>
        </w:rPr>
        <w:t xml:space="preserve">Экономические расчёты, выполненные в программном комплексе </w:t>
      </w:r>
      <w:r>
        <w:t>Project</w:t>
      </w:r>
      <w:r w:rsidRPr="00BE6C3C">
        <w:rPr>
          <w:lang w:val="ru-RU"/>
        </w:rPr>
        <w:t xml:space="preserve"> </w:t>
      </w:r>
      <w:r>
        <w:t>Expert</w:t>
      </w:r>
      <w:r w:rsidRPr="00BE6C3C">
        <w:rPr>
          <w:lang w:val="ru-RU"/>
        </w:rPr>
        <w:t xml:space="preserve"> 6 </w:t>
      </w:r>
      <w:r>
        <w:t>Holding</w:t>
      </w:r>
      <w:r w:rsidRPr="00BE6C3C">
        <w:rPr>
          <w:lang w:val="ru-RU"/>
        </w:rPr>
        <w:t>, подтверждают эффективность проекта по всем интегральным критериям:</w:t>
      </w:r>
    </w:p>
    <w:p w14:paraId="3808AAEA" w14:textId="77777777" w:rsidR="001F7619" w:rsidRPr="00BE6C3C" w:rsidRDefault="00474AB9">
      <w:pPr>
        <w:rPr>
          <w:lang w:val="ru-RU"/>
        </w:rPr>
      </w:pPr>
      <w:r w:rsidRPr="00BE6C3C">
        <w:rPr>
          <w:lang w:val="ru-RU"/>
        </w:rPr>
        <w:t>– чистый дисконтированный доход (</w:t>
      </w:r>
      <w:r>
        <w:t>NPV</w:t>
      </w:r>
      <w:r w:rsidRPr="00BE6C3C">
        <w:rPr>
          <w:lang w:val="ru-RU"/>
        </w:rPr>
        <w:t>) составляет 2 461 669 рублей, что свидетельствует о создании добавленной стоимости сверх требуемой нормы доходности;</w:t>
      </w:r>
    </w:p>
    <w:p w14:paraId="3F91935F" w14:textId="77777777" w:rsidR="001F7619" w:rsidRPr="00BE6C3C" w:rsidRDefault="00474AB9">
      <w:pPr>
        <w:rPr>
          <w:lang w:val="ru-RU"/>
        </w:rPr>
      </w:pPr>
      <w:r w:rsidRPr="00BE6C3C">
        <w:rPr>
          <w:lang w:val="ru-RU"/>
        </w:rPr>
        <w:t>– внутренняя норма доходн</w:t>
      </w:r>
      <w:r w:rsidRPr="00BE6C3C">
        <w:rPr>
          <w:lang w:val="ru-RU"/>
        </w:rPr>
        <w:t>ости (</w:t>
      </w:r>
      <w:r>
        <w:t>IRR</w:t>
      </w:r>
      <w:r w:rsidRPr="00BE6C3C">
        <w:rPr>
          <w:lang w:val="ru-RU"/>
        </w:rPr>
        <w:t>) равна 35,67%, превышая ставку дисконтирования (16%) и стоимость заёмного капитала (12%);</w:t>
      </w:r>
    </w:p>
    <w:p w14:paraId="4ECF7E79" w14:textId="77777777" w:rsidR="001F7619" w:rsidRPr="00BE6C3C" w:rsidRDefault="00474AB9">
      <w:pPr>
        <w:rPr>
          <w:lang w:val="ru-RU"/>
        </w:rPr>
      </w:pPr>
      <w:r w:rsidRPr="00BE6C3C">
        <w:rPr>
          <w:lang w:val="ru-RU"/>
        </w:rPr>
        <w:lastRenderedPageBreak/>
        <w:t>– индекс прибыльности (</w:t>
      </w:r>
      <w:r>
        <w:t>PI</w:t>
      </w:r>
      <w:r w:rsidRPr="00BE6C3C">
        <w:rPr>
          <w:lang w:val="ru-RU"/>
        </w:rPr>
        <w:t>) составляет 1,31, подтверждая, что каждый вложенный рубль генерирует более одного рубля дисконтированного дохода;</w:t>
      </w:r>
    </w:p>
    <w:p w14:paraId="0933D56E" w14:textId="77777777" w:rsidR="001F7619" w:rsidRPr="00BE6C3C" w:rsidRDefault="00474AB9">
      <w:pPr>
        <w:rPr>
          <w:lang w:val="ru-RU"/>
        </w:rPr>
      </w:pPr>
      <w:r w:rsidRPr="00BE6C3C">
        <w:rPr>
          <w:lang w:val="ru-RU"/>
        </w:rPr>
        <w:t>– дис</w:t>
      </w:r>
      <w:r w:rsidRPr="00BE6C3C">
        <w:rPr>
          <w:lang w:val="ru-RU"/>
        </w:rPr>
        <w:t>контированный срок окупаемости (</w:t>
      </w:r>
      <w:r>
        <w:t>DPP</w:t>
      </w:r>
      <w:r w:rsidRPr="00BE6C3C">
        <w:rPr>
          <w:lang w:val="ru-RU"/>
        </w:rPr>
        <w:t>) составляет 30 месяцев, что находится в пределах горизонта планирования (36 месяцев);</w:t>
      </w:r>
    </w:p>
    <w:p w14:paraId="248F9EE6" w14:textId="77777777" w:rsidR="001F7619" w:rsidRPr="00BE6C3C" w:rsidRDefault="00474AB9">
      <w:pPr>
        <w:rPr>
          <w:lang w:val="ru-RU"/>
        </w:rPr>
      </w:pPr>
      <w:r w:rsidRPr="00BE6C3C">
        <w:rPr>
          <w:lang w:val="ru-RU"/>
        </w:rPr>
        <w:t>– запас финансовой прочности проекта позволяет выдержать снижение объёмов продаж до 15–20% без потери рентабельности.</w:t>
      </w:r>
    </w:p>
    <w:p w14:paraId="34CFB167" w14:textId="77777777" w:rsidR="001F7619" w:rsidRPr="00BE6C3C" w:rsidRDefault="00474AB9">
      <w:pPr>
        <w:rPr>
          <w:lang w:val="ru-RU"/>
        </w:rPr>
      </w:pPr>
      <w:r w:rsidRPr="00BE6C3C">
        <w:rPr>
          <w:lang w:val="ru-RU"/>
        </w:rPr>
        <w:t>Сов</w:t>
      </w:r>
      <w:r w:rsidRPr="00BE6C3C">
        <w:rPr>
          <w:lang w:val="ru-RU"/>
        </w:rPr>
        <w:t>окупный бюджет капитальных вложений составляет 4 795 тыс. рублей, финансируемых за счёт собственных средств учредителей (3 000 тыс. руб.) и банковского кредита МСП (2 000 тыс. руб. под 12% годовых на 36 мес.). Годовая выручка на проектной мощности прогнози</w:t>
      </w:r>
      <w:r w:rsidRPr="00BE6C3C">
        <w:rPr>
          <w:lang w:val="ru-RU"/>
        </w:rPr>
        <w:t>руется на уровне 18,66 млн рублей, что не превышает порогового значения для применения упрощённой системы налогообложения без уплаты НДС.</w:t>
      </w:r>
    </w:p>
    <w:p w14:paraId="1ED579B6" w14:textId="77777777" w:rsidR="001F7619" w:rsidRPr="00BE6C3C" w:rsidRDefault="00474AB9">
      <w:pPr>
        <w:rPr>
          <w:lang w:val="ru-RU"/>
        </w:rPr>
      </w:pPr>
      <w:r w:rsidRPr="00BE6C3C">
        <w:rPr>
          <w:lang w:val="ru-RU"/>
        </w:rPr>
        <w:t>Анализ чувствительности подтверждает устойчивость проекта к неблагоприятным рыночным сценариям. Высокая маржинальность</w:t>
      </w:r>
      <w:r w:rsidRPr="00BE6C3C">
        <w:rPr>
          <w:lang w:val="ru-RU"/>
        </w:rPr>
        <w:t xml:space="preserve"> продукции (79%) обеспечивает значительный запас прочности при колебаниях спроса и стоимости комплектующих. Проект в полной мере отвечает критериям инвестиционной привлекательности и рекомендуется к реализации.</w:t>
      </w:r>
    </w:p>
    <w:p w14:paraId="7EAB04EB" w14:textId="77777777" w:rsidR="001F7619" w:rsidRPr="00BE6C3C" w:rsidRDefault="00474AB9">
      <w:pPr>
        <w:rPr>
          <w:lang w:val="ru-RU"/>
        </w:rPr>
      </w:pPr>
      <w:r w:rsidRPr="00BE6C3C">
        <w:rPr>
          <w:lang w:val="ru-RU"/>
        </w:rPr>
        <w:t>Таким образом, цели и задачи, поставленные пе</w:t>
      </w:r>
      <w:r w:rsidRPr="00BE6C3C">
        <w:rPr>
          <w:lang w:val="ru-RU"/>
        </w:rPr>
        <w:t>ред выпускной квалификационной работой, были полностью достигнуты и успешно выполнены.</w:t>
      </w:r>
    </w:p>
    <w:p w14:paraId="01E8A85B" w14:textId="77777777" w:rsidR="001F7619" w:rsidRPr="00BE6C3C" w:rsidRDefault="00474AB9">
      <w:pPr>
        <w:pStyle w:val="1"/>
        <w:rPr>
          <w:lang w:val="ru-RU"/>
        </w:rPr>
      </w:pPr>
      <w:r w:rsidRPr="00BE6C3C">
        <w:rPr>
          <w:lang w:val="ru-RU"/>
        </w:rPr>
        <w:lastRenderedPageBreak/>
        <w:t>ЗАКЛЮЧЕНИЕ</w:t>
      </w:r>
    </w:p>
    <w:p w14:paraId="558F5DA2" w14:textId="77777777" w:rsidR="001F7619" w:rsidRPr="00BE6C3C" w:rsidRDefault="00474AB9">
      <w:pPr>
        <w:rPr>
          <w:lang w:val="ru-RU"/>
        </w:rPr>
      </w:pPr>
      <w:r w:rsidRPr="00BE6C3C">
        <w:rPr>
          <w:lang w:val="ru-RU"/>
        </w:rPr>
        <w:t xml:space="preserve">В ходе выполнения выпускной квалификационной работы был разработан инвестиционный проект производственного предприятия по выпуску </w:t>
      </w:r>
      <w:r w:rsidRPr="00BE6C3C">
        <w:rPr>
          <w:lang w:val="ru-RU"/>
        </w:rPr>
        <w:t>комбинированных пожарных извещателей. Работа выполнена в соответствии с поставленной целью и решает все сформулированные задачи.</w:t>
      </w:r>
    </w:p>
    <w:p w14:paraId="780800FE" w14:textId="77777777" w:rsidR="001F7619" w:rsidRPr="00BE6C3C" w:rsidRDefault="00474AB9">
      <w:pPr>
        <w:rPr>
          <w:lang w:val="ru-RU"/>
        </w:rPr>
      </w:pPr>
      <w:r w:rsidRPr="00BE6C3C">
        <w:rPr>
          <w:lang w:val="ru-RU"/>
        </w:rPr>
        <w:t xml:space="preserve">В первой главе проведён анализ технико-экономического обоснования проекта. Обоснована целесообразность создания предприятия на </w:t>
      </w:r>
      <w:r w:rsidRPr="00BE6C3C">
        <w:rPr>
          <w:lang w:val="ru-RU"/>
        </w:rPr>
        <w:t xml:space="preserve">основе модели гибридной автоматизации, проанализирован рынок пожарной сигнализации Российской Федерации (объём 54 млрд руб. в 2025 году, </w:t>
      </w:r>
      <w:r>
        <w:t>CAGR</w:t>
      </w:r>
      <w:r w:rsidRPr="00BE6C3C">
        <w:rPr>
          <w:lang w:val="ru-RU"/>
        </w:rPr>
        <w:t xml:space="preserve"> 7–10%), выявлены ключевые драйверы спроса (запрет параллельного импорта, введение технологического сбора, ужесточе</w:t>
      </w:r>
      <w:r w:rsidRPr="00BE6C3C">
        <w:rPr>
          <w:lang w:val="ru-RU"/>
        </w:rPr>
        <w:t xml:space="preserve">ние ГОСТ Р 53325-2024 и СП 484.1311500.2020) и обоснован выбор программного комплекса </w:t>
      </w:r>
      <w:r>
        <w:t>Project</w:t>
      </w:r>
      <w:r w:rsidRPr="00BE6C3C">
        <w:rPr>
          <w:lang w:val="ru-RU"/>
        </w:rPr>
        <w:t xml:space="preserve"> </w:t>
      </w:r>
      <w:r>
        <w:t>Expert</w:t>
      </w:r>
      <w:r w:rsidRPr="00BE6C3C">
        <w:rPr>
          <w:lang w:val="ru-RU"/>
        </w:rPr>
        <w:t xml:space="preserve"> 6 </w:t>
      </w:r>
      <w:r>
        <w:t>Holding</w:t>
      </w:r>
      <w:r w:rsidRPr="00BE6C3C">
        <w:rPr>
          <w:lang w:val="ru-RU"/>
        </w:rPr>
        <w:t xml:space="preserve"> в качестве инструмента финансового моделирования.</w:t>
      </w:r>
    </w:p>
    <w:p w14:paraId="661B0BC1" w14:textId="77777777" w:rsidR="001F7619" w:rsidRPr="00BE6C3C" w:rsidRDefault="00474AB9">
      <w:pPr>
        <w:rPr>
          <w:lang w:val="ru-RU"/>
        </w:rPr>
      </w:pPr>
      <w:r w:rsidRPr="00BE6C3C">
        <w:rPr>
          <w:lang w:val="ru-RU"/>
        </w:rPr>
        <w:t>Во второй главе сформулированы теоретические основы оценки эффективности инвестиционного проект</w:t>
      </w:r>
      <w:r w:rsidRPr="00BE6C3C">
        <w:rPr>
          <w:lang w:val="ru-RU"/>
        </w:rPr>
        <w:t>а. Рассмотрены методы дисконтирования денежных потоков, определены ключевые показатели эффективности (</w:t>
      </w:r>
      <w:r>
        <w:t>NPV</w:t>
      </w:r>
      <w:r w:rsidRPr="00BE6C3C">
        <w:rPr>
          <w:lang w:val="ru-RU"/>
        </w:rPr>
        <w:t xml:space="preserve">, </w:t>
      </w:r>
      <w:r>
        <w:t>IRR</w:t>
      </w:r>
      <w:r w:rsidRPr="00BE6C3C">
        <w:rPr>
          <w:lang w:val="ru-RU"/>
        </w:rPr>
        <w:t xml:space="preserve">, </w:t>
      </w:r>
      <w:r>
        <w:t>PI</w:t>
      </w:r>
      <w:r w:rsidRPr="00BE6C3C">
        <w:rPr>
          <w:lang w:val="ru-RU"/>
        </w:rPr>
        <w:t xml:space="preserve">, </w:t>
      </w:r>
      <w:r>
        <w:t>DPP</w:t>
      </w:r>
      <w:r w:rsidRPr="00BE6C3C">
        <w:rPr>
          <w:lang w:val="ru-RU"/>
        </w:rPr>
        <w:t>), а также обоснована необходимость проведения анализа безубыточности и чувствительности для подтверждения устойчивости проекта к внешним</w:t>
      </w:r>
      <w:r w:rsidRPr="00BE6C3C">
        <w:rPr>
          <w:lang w:val="ru-RU"/>
        </w:rPr>
        <w:t xml:space="preserve"> факторам.</w:t>
      </w:r>
    </w:p>
    <w:p w14:paraId="369ED224" w14:textId="77777777" w:rsidR="001F7619" w:rsidRPr="00BE6C3C" w:rsidRDefault="00474AB9">
      <w:pPr>
        <w:rPr>
          <w:lang w:val="ru-RU"/>
        </w:rPr>
      </w:pPr>
      <w:r w:rsidRPr="00BE6C3C">
        <w:rPr>
          <w:lang w:val="ru-RU"/>
        </w:rPr>
        <w:t>В третьей главе разработана проектная часть: определены исходные данные (характеристика предприятия ООО «</w:t>
      </w:r>
      <w:proofErr w:type="spellStart"/>
      <w:r w:rsidRPr="00BE6C3C">
        <w:rPr>
          <w:lang w:val="ru-RU"/>
        </w:rPr>
        <w:t>СигналПром</w:t>
      </w:r>
      <w:proofErr w:type="spellEnd"/>
      <w:r w:rsidRPr="00BE6C3C">
        <w:rPr>
          <w:lang w:val="ru-RU"/>
        </w:rPr>
        <w:t>», месторасположение в г. Рязани, состав оборудования общей стоимостью 4 795 тыс. руб., номенклатура продукции с себестоимостью 38</w:t>
      </w:r>
      <w:r w:rsidRPr="00BE6C3C">
        <w:rPr>
          <w:lang w:val="ru-RU"/>
        </w:rPr>
        <w:t xml:space="preserve">2 руб./шт.), составлен календарный план инвестиционной фазы (4 месяца), детально описана система автоматизированного управления качеством на базе </w:t>
      </w:r>
      <w:r w:rsidRPr="00BE6C3C">
        <w:rPr>
          <w:lang w:val="ru-RU"/>
        </w:rPr>
        <w:lastRenderedPageBreak/>
        <w:t xml:space="preserve">комбинированного стенда «СИ–ТДК» с </w:t>
      </w:r>
      <w:r>
        <w:t>MES</w:t>
      </w:r>
      <w:r w:rsidRPr="00BE6C3C">
        <w:rPr>
          <w:lang w:val="ru-RU"/>
        </w:rPr>
        <w:t>-системой сквозной прослеживаемости продукции. Выполнено внесение данных</w:t>
      </w:r>
      <w:r w:rsidRPr="00BE6C3C">
        <w:rPr>
          <w:lang w:val="ru-RU"/>
        </w:rPr>
        <w:t xml:space="preserve"> в </w:t>
      </w:r>
      <w:r>
        <w:t>Project</w:t>
      </w:r>
      <w:r w:rsidRPr="00BE6C3C">
        <w:rPr>
          <w:lang w:val="ru-RU"/>
        </w:rPr>
        <w:t xml:space="preserve"> </w:t>
      </w:r>
      <w:r>
        <w:t>Expert</w:t>
      </w:r>
      <w:r w:rsidRPr="00BE6C3C">
        <w:rPr>
          <w:lang w:val="ru-RU"/>
        </w:rPr>
        <w:t xml:space="preserve"> и получены результаты финансового моделирования, подтвердившие экономическую эффективность проекта.</w:t>
      </w:r>
    </w:p>
    <w:p w14:paraId="05F07F8E" w14:textId="77777777" w:rsidR="001F7619" w:rsidRPr="00BE6C3C" w:rsidRDefault="00474AB9">
      <w:pPr>
        <w:rPr>
          <w:lang w:val="ru-RU"/>
        </w:rPr>
      </w:pPr>
      <w:r w:rsidRPr="00BE6C3C">
        <w:rPr>
          <w:lang w:val="ru-RU"/>
        </w:rPr>
        <w:t xml:space="preserve">В четвёртой главе сформулированы выводы по эффективности предложения. Показатели </w:t>
      </w:r>
      <w:r>
        <w:t>NPV</w:t>
      </w:r>
      <w:r w:rsidRPr="00BE6C3C">
        <w:rPr>
          <w:lang w:val="ru-RU"/>
        </w:rPr>
        <w:t xml:space="preserve">, </w:t>
      </w:r>
      <w:r>
        <w:t>IRR</w:t>
      </w:r>
      <w:r w:rsidRPr="00BE6C3C">
        <w:rPr>
          <w:lang w:val="ru-RU"/>
        </w:rPr>
        <w:t xml:space="preserve">, </w:t>
      </w:r>
      <w:r>
        <w:t>PI</w:t>
      </w:r>
      <w:r w:rsidRPr="00BE6C3C">
        <w:rPr>
          <w:lang w:val="ru-RU"/>
        </w:rPr>
        <w:t xml:space="preserve"> и </w:t>
      </w:r>
      <w:r>
        <w:t>DPP</w:t>
      </w:r>
      <w:r w:rsidRPr="00BE6C3C">
        <w:rPr>
          <w:lang w:val="ru-RU"/>
        </w:rPr>
        <w:t xml:space="preserve"> соответствуют критериям инвестиционной</w:t>
      </w:r>
      <w:r w:rsidRPr="00BE6C3C">
        <w:rPr>
          <w:lang w:val="ru-RU"/>
        </w:rPr>
        <w:t xml:space="preserve"> привлекательности. Анализ чувствительности подтвердил устойчивость проекта к неблагоприятным рыночным сценариям.</w:t>
      </w:r>
    </w:p>
    <w:p w14:paraId="765A2135" w14:textId="77777777" w:rsidR="001F7619" w:rsidRPr="00BE6C3C" w:rsidRDefault="00474AB9">
      <w:pPr>
        <w:rPr>
          <w:lang w:val="ru-RU"/>
        </w:rPr>
      </w:pPr>
      <w:r w:rsidRPr="00BE6C3C">
        <w:rPr>
          <w:lang w:val="ru-RU"/>
        </w:rPr>
        <w:t>Практическая значимость работы состоит в том, что разработанная модель может быть использована как основа для подготовки бизнес-плана, обоснов</w:t>
      </w:r>
      <w:r w:rsidRPr="00BE6C3C">
        <w:rPr>
          <w:lang w:val="ru-RU"/>
        </w:rPr>
        <w:t>ания заявки на привлечение финансирования (в том числе через программы льготного кредитования МСП и грантовые механизмы центров «Мой бизнес»), а также для адаптации проекта к конкретным региональным и технологическим условиям. Результаты работы демонстриру</w:t>
      </w:r>
      <w:r w:rsidRPr="00BE6C3C">
        <w:rPr>
          <w:lang w:val="ru-RU"/>
        </w:rPr>
        <w:t>ют практическую реализуемость принципов автоматизации технологических процессов на малом производственном предприятии радиоэлектронной отрасли, что соответствует направлению подготовки 15.03.04 «Автоматизация технологических процессов и производств».</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Liberation Serif" w:hAnsi="Liberation Serif" w:cs="Liberation Serif"/>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40" w:line="360" w:lineRule="auto"/>
      <w:ind w:firstLine="0"/>
      <w:jc w:val="center"/>
      <w:outlineLvl w:val="0"/>
    </w:pPr>
    <w:rPr>
      <w:rFonts w:asciiTheme="majorHAnsi" w:eastAsiaTheme="majorEastAsia" w:hAnsiTheme="majorHAnsi" w:cstheme="majorBidi" w:ascii="Liberation Serif" w:hAnsi="Liberation Serif" w:cs="Liberation Serif"/>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240" w:line="360" w:lineRule="auto"/>
      <w:ind w:firstLine="0"/>
      <w:jc w:val="center"/>
      <w:outlineLvl w:val="1"/>
    </w:pPr>
    <w:rPr>
      <w:rFonts w:asciiTheme="majorHAnsi" w:eastAsiaTheme="majorEastAsia" w:hAnsiTheme="majorHAnsi" w:cstheme="majorBidi" w:ascii="Liberation Serif" w:hAnsi="Liberation Serif" w:cs="Liberation Serif"/>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