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Постановка задачи</w:t>
      </w:r>
    </w:p>
    <w:p>
      <w:r>
        <w:t>Точная оценка экономической эффективности инвестиционного проекта играет решающую роль в его будущем успехе. Основная сложность заключается в достоверном прогнозировании денежных потоков: любая ошибка на этом этапе может привести к искажённой оценке проекта и, как следствие, к отказу от прибыльного начинания или одобрению заведомо убыточного предложения. Поэтому крайне важно тщательно и обоснованно планировать движение денежных средств предприятия.</w:t>
      </w:r>
    </w:p>
    <w:p>
      <w:r>
        <w:t>Оценка эффективности инвестиционного проекта при разработке бизнес-плана в условиях современной социально-экономической ситуации основывается на следующих ключевых принципах:</w:t>
      </w:r>
    </w:p>
    <w:p>
      <w:pPr>
        <w:ind w:firstLine="709"/>
      </w:pPr>
      <w:r>
        <w:t>1) построение моделей денежных потоков и возможность их сопоставления;</w:t>
      </w:r>
    </w:p>
    <w:p>
      <w:pPr>
        <w:ind w:firstLine="709"/>
      </w:pPr>
      <w:r>
        <w:t>2) проведение анализа проекта на всех стадиях его жизненного цикла;</w:t>
      </w:r>
    </w:p>
    <w:p>
      <w:pPr>
        <w:ind w:firstLine="709"/>
      </w:pPr>
      <w:r>
        <w:t>3) учёт временных параметров и предстоящих финансовых вложений;</w:t>
      </w:r>
    </w:p>
    <w:p>
      <w:pPr>
        <w:ind w:firstLine="709"/>
      </w:pPr>
      <w:r>
        <w:t>4) применение многоступенчатой системы оценки и стремление к максимизации положительного результата;</w:t>
      </w:r>
    </w:p>
    <w:p>
      <w:pPr>
        <w:ind w:firstLine="709"/>
      </w:pPr>
      <w:r>
        <w:t>5) анализ ключевых последствий реализации проекта и интересов всех его участников;</w:t>
      </w:r>
    </w:p>
    <w:p>
      <w:pPr>
        <w:ind w:firstLine="709"/>
      </w:pPr>
      <w:r>
        <w:t>6) включение в расчёты факторов инфляции, неопределённости и потенциальных рисков.</w:t>
      </w:r>
    </w:p>
    <w:p>
      <w:r>
        <w:t>Под денежным потоком (Cash Flow) инвестиционного проекта понимаются все поступления и выплаты денежных средств, непосредственно связанные с его реализацией. Денежные потоки распределяются по временным интервалам — ежемесячным, ежеквартальным или годовым. Прогноз движения денежных средств отражает ожидаемые потоки и является ключевым элементом планирования финансов проекта. Он включает три основных блока:</w:t>
      </w:r>
    </w:p>
    <w:p>
      <w:pPr>
        <w:ind w:firstLine="709"/>
      </w:pPr>
      <w:r>
        <w:t>1. Операционная деятельность — поступления от реализации товаров и оказания услуг, авансы от клиентов. Расходы включают оплату сырья, комплектующих, коммунальных услуг, заработной платы, налогов и сборов.</w:t>
      </w:r>
    </w:p>
    <w:p>
      <w:pPr>
        <w:ind w:firstLine="709"/>
      </w:pPr>
      <w:r>
        <w:t>2. Инвестиционная деятельность — затраты и поступления, связанные с покупкой или продажей долгосрочных активов, таких как оборудование, нематериальные активы и транспортные средства.</w:t>
      </w:r>
    </w:p>
    <w:p>
      <w:pPr>
        <w:ind w:firstLine="709"/>
      </w:pPr>
      <w:r>
        <w:t>3. Финансовая деятельность — движение средств, связанное с привлечением и возвратом кредитов, займов, лизинговых платежей и формированием уставного капитала.</w:t>
      </w:r>
    </w:p>
    <w:p>
      <w:r>
        <w:t>Итогом расчёта всех потоков становится чистый денежный поток — основной показатель для проведения дисконтирования и анализа эффективности проекта во времени. При составлении бизнес-плана эффективность проекта принято оценивать с помощью системы интегральных показателей, базирующихся на принципе временной стоимости денег (Time Value of Money): рубль, полученный в будущем, имеет меньшую ценность по сравнению с рублём текущего периода.</w:t>
      </w:r>
    </w:p>
    <w:p>
      <w:r>
        <w:t>Чистая приведённая стоимость (Net Present Value, NPV) является базовым и наиболее академически достоверным показателем эффективности инвестиционного проекта. NPV демонстрирует абсолютную величину приращения стоимости проекта в текущем моменте времени и определяется как сумма дисконтированных чистых денежных потоков за весь горизонт планирования за вычетом первоначальных инвестиционных затрат. Положительное значение NPV свидетельствует о том, что проект создаёт добавленную стоимость и обеспечивает доходность выше принятой ставки дисконтирования. Для малого предприятия использование NPV важно тем, что показатель учитывает не только итоговую сумму дохода, но и распределение денежных поступлений по периодам, а значит, лучше отражает реальную устойчивость проекта. Математически NPV выражается следующей формулой:</w:t>
      </w:r>
    </w:p>
    <w:p>
      <w:r>
        <w:t>NPV = Σ (CFt / (1 + r)^t) − I₀,    (1)</w:t>
      </w:r>
    </w:p>
    <w:p>
      <w:r>
        <w:t>где CFt — чистый денежный поток в период t (разница между притоками от продаж продукции и оттоками на заработную плату, налоги, закупку комплектующих); r — ставка дисконтирования (стоимость капитала, выраженная в долях единицы); T — горизонт планирования (жизненный цикл проекта); t — текущий период времени (шаг расчёта); I₀ — полная сумма стартовых инвестиционных затрат (капитальные вложения в нулевом периоде).</w:t>
      </w:r>
    </w:p>
    <w:p>
      <w:r>
        <w:t>Экономическая интерпретация: если NPV &gt; 0, проект генерирует доходность, превышающую требуемую норму дисконта, и подлежит одобрению. При NPV &lt; 0 проект уничтожает капитал и должен быть отвергнут. При NPV = 0 проект обеспечивает доходность, в точности равную стоимости привлечённого капитала.</w:t>
      </w:r>
    </w:p>
    <w:p>
      <w:r>
        <w:t>Внутренняя норма доходности (Internal Rate of Return, IRR) представляет собой такую пороговую ставку дисконтирования, при которой NPV проекта становится равной нулю. Экономический смысл показателя заключается в определении предельной доходности вложений — максимально допустимой стоимости привлекаемого финансирования (например, предельной процентной ставки по банковскому кредиту на закупку оборудования), при которой предприятие ещё способно расплатиться с кредиторами без ухода в убыток. Проект принимается инвестором, если IRR превышает барьерную ставку предприятия (стоимость капитала). Для вычисления IRR решается уравнение:</w:t>
      </w:r>
    </w:p>
    <w:p>
      <w:r>
        <w:t>Σ (CFt / (1 + IRR)^t) − I₀ = 0    (2)</w:t>
      </w:r>
    </w:p>
    <w:p>
      <w:r>
        <w:t>Однако для малых предприятий показатель IRR не должен трактоваться изолированно. Высокий расчётный уровень внутренней доходности может сопровождаться значительной чувствительностью к снижению выручки, что делает проект формально привлекательным, но практически уязвимым. Классический метод IRR имеет математическое ограничение: он предполагает, что весь получаемый доход мгновенно реинвестируется по высокой ставке самого проекта (IRR), что нереалистично для малого бизнеса.</w:t>
      </w:r>
    </w:p>
    <w:p>
      <w:r>
        <w:t>Индекс прибыльности (Profitability Index, PI) используется для оценки относительной отдачи на единицу вложенного капитала. Показатель рассчитывается как отношение суммы дисконтированных притоков к первоначальным инвестициям:</w:t>
      </w:r>
    </w:p>
    <w:p>
      <w:r>
        <w:t>PI = Σ (CFt / (1 + r)^t) / I₀    (3)</w:t>
      </w:r>
    </w:p>
    <w:p>
      <w:r>
        <w:t>Если PI &gt; 1, проект считается экономически целесообразным: каждый вложенный рубль генерирует более одного рубля дисконтированного дохода. Для субъектов малого бизнеса PI удобен тем, что позволяет сравнивать несколько альтернативных направлений использования ограниченного капитала. Вместе с тем для окончательного решения индекс прибыльности следует дополнять анализом сроков возврата капитала и структуры текущих расходов.</w:t>
      </w:r>
    </w:p>
    <w:p>
      <w:r>
        <w:t>Срок окупаемости проекта может определяться в простом и дисконтированном вариантах. Простой срок окупаемости (Payback Period, PP) показывает момент времени, когда накопленный недисконтированный денежный поток компенсирует первоначальные инвестиции:</w:t>
      </w:r>
    </w:p>
    <w:p>
      <w:r>
        <w:t>PP = I₀ / CFсреднегод    (4)</w:t>
      </w:r>
    </w:p>
    <w:p>
      <w:r>
        <w:t>Дисконтированный срок окупаемости (Discounted Payback Period, DPP) учитывает стоимость денег во времени и потому является более строгим критерием. DPP определяется как минимальное значение t, при котором накопленный дисконтированный денежный поток становится неотрицательным:</w:t>
      </w:r>
    </w:p>
    <w:p>
      <w:r>
        <w:t>DPP = min {t : Σ(k=1..t) CFk/(1+r)^k ≥ I₀}    (5)</w:t>
      </w:r>
    </w:p>
    <w:p>
      <w:r>
        <w:t>Для малого предприятия показатель окупаемости важен прежде всего как характеристика скорости высвобождения капитала и уровня ликвидного риска. Чем длиннее срок окупаемости, тем дольше предприятие находится в зоне повышенной чувствительности к внешним отклонениям. В условиях нестабильной экономики России 2026 года (ключевая ставка Банка России на уровне 21%) инвесторы требуют минимизации сроков окупаемости (в идеале до 2–3 лет), чтобы нивелировать долгосрочные геополитические и макроэкономические риски.</w:t>
      </w:r>
    </w:p>
    <w:p>
      <w:r>
        <w:t>Наряду с интегральными критериями для малого бизнеса принципиальное значение имеет анализ безубыточности. Точка безубыточности (Break-Even Point, BEP) показывает минимальный объём продаж, при котором выручка покрывает все постоянные и переменные затраты, но прибыль равна нулю:</w:t>
      </w:r>
    </w:p>
    <w:p>
      <w:r>
        <w:t>BEP = FC / (P − VC),    (6)</w:t>
      </w:r>
    </w:p>
    <w:p>
      <w:r>
        <w:t>где FC — постоянные затраты (аренда, заработная плата, амортизация, коммунальные услуги); P — цена реализации единицы продукции; VC — переменные затраты на единицу продукции (материалы, комплектующие, упаковка). Если фактический объём продаж предприятия стабильно превышает данный порог, формируется запас финансовой прочности (Margin of Safety), характеризующий устойчивость бизнес-модели:</w:t>
      </w:r>
    </w:p>
    <w:p>
      <w:r>
        <w:t>MoS = (Выручка факт − Выручка BEP) / Выручка факт × 100%    (7)</w:t>
      </w:r>
    </w:p>
    <w:p>
      <w:r>
        <w:t>Для проектов производственного типа расчёт безубыточности позволяет определить допустимый уровень загрузки оборудования и оценить, насколько реалистичен проект при неполной мощности. Данный показатель приобретает особую значимость для проектируемого предприятия, поскольку выход на полную загрузку происходит ступенчато в течение первого года.</w:t>
      </w:r>
    </w:p>
    <w:p>
      <w:r>
        <w:t>Ставка дисконтирования (r) является важнейшей переменной, определяющей результаты оценки эффективности проекта. Для малого предприятия без привлечения заёмного капитала ставка дисконтирования определяется кумулятивным методом: безрисковая ставка (доходность ОФЗ или ключевая ставка Банка России) плюс премии за страновой, отраслевой риски и риск неликвидности малого бизнеса. В условиях 2026 года при ключевой ставке 21% годовых и дополнительной премии за размер бизнеса (3–5%), ставка дисконтирования для проектов малого предпринимательства может достигать 24–26%. Однако при использовании программ льготного финансирования (лизинг под 6–8%, гранты) средневзвешенная стоимость капитала существенно снижается, что повышает расчётную привлекательность проекта.</w:t>
      </w:r>
    </w:p>
    <w:p>
      <w:r>
        <w:t>Современный подход к оценке эффективности требует также проведения сценарного и чувствительного анализа. Сценарный подход предполагает формирование нескольких вариантов развития событий — базового, оптимистического и пессимистического — с присвоением каждому вероятности реализации. Анализ чувствительности оценивает влияние изменения отдельных параметров (±10%, ±20%) на итоговый NPV и IRR проекта. Для малого предприятия наиболее существенными факторами обычно являются объём продаж, цена реализации, стоимость материалов, фонд оплаты труда, арендные платежи и сроки запуска. Качественный инвестиционный проект должен включать не только итоговые показатели, но и оценку устойчивости к изменению ключевых предпосылок.</w:t>
      </w:r>
    </w:p>
    <w:p>
      <w:r>
        <w:t>Проект считается эффективным, если он одновременно соответствует следующим критериям:</w:t>
      </w:r>
    </w:p>
    <w:p>
      <w:pPr>
        <w:ind w:firstLine="709"/>
      </w:pPr>
      <w:r>
        <w:t>– NPV &gt; 0 (проект создаёт добавленную стоимость);</w:t>
      </w:r>
    </w:p>
    <w:p>
      <w:pPr>
        <w:ind w:firstLine="709"/>
      </w:pPr>
      <w:r>
        <w:t>– IRR &gt; r (внутренняя доходность превышает стоимость капитала);</w:t>
      </w:r>
    </w:p>
    <w:p>
      <w:pPr>
        <w:ind w:firstLine="709"/>
      </w:pPr>
      <w:r>
        <w:t>– PI &gt; 1 (каждый вложенный рубль приносит более одного рубля дисконтированного дохода);</w:t>
      </w:r>
    </w:p>
    <w:p>
      <w:pPr>
        <w:ind w:firstLine="709"/>
      </w:pPr>
      <w:r>
        <w:t>– DPP &lt; горизонт планирования (проект окупается в рамках расчётного периода);</w:t>
      </w:r>
    </w:p>
    <w:p>
      <w:pPr>
        <w:ind w:firstLine="709"/>
      </w:pPr>
      <w:r>
        <w:t>– фактическая выручка &gt; точки безубыточности (формируется запас финансовой прочности).</w:t>
      </w:r>
    </w:p>
    <w:p>
      <w:r>
        <w:t>В рамках данной выпускной квалификационной работы проведён анализ инвестиционного проекта с применением программного продукта Project Expert 6 Holding. Оценка проводилась по основным критериям эффективности, описанным выше. По результатам анализа даны рекомендации, позволяющие принять обоснованное решение о целесообразности инвестирования в производственное предприятие по выпуску комбинированных пожарных извещателей в условиях российского рынка 2026 года.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Liberation Serif" w:hAnsi="Liberation Serif" w:cs="Liberation Serif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Liberation Serif" w:hAnsi="Liberation Serif" w:cs="Liberation Serif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Liberation Serif" w:hAnsi="Liberation Serif" w:cs="Liberation Serif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