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3.2 Календарный план работ</w:t>
      </w:r>
    </w:p>
    <w:p>
      <w:r>
        <w:t>Для наглядного представления последовательности, продолжительности и взаимной зависимости работ на инвестиционной фазе проекта применяется сетевое планирование, представленное в форме диаграммы Ганта. Календарный план охватывает период с момента принятия решения об инвестировании (1 сентября 2026 года) до начала операционной деятельности (1 января 2027 года) и включает ключевые вехи инвестиционной фазы.</w:t>
      </w:r>
    </w:p>
    <w:p>
      <w:r>
        <w:t>Реализация проекта разбита на три последовательные стадии общей продолжительностью четыре месяца (16 недель).</w:t>
      </w:r>
    </w:p>
    <w:p>
      <w:r>
        <w:t>Первая стадия — организационно-подготовительная (недели 1–4, сентябрь 2026). Данная стадия включает следующие мероприятия:</w:t>
      </w:r>
    </w:p>
    <w:p>
      <w:pPr>
        <w:ind w:firstLine="709"/>
      </w:pPr>
      <w:r>
        <w:t>– регистрация юридического лица ООО «СигналПром» в ФНС России, постановка на учёт в качестве плательщика УСН 15%;</w:t>
      </w:r>
    </w:p>
    <w:p>
      <w:pPr>
        <w:ind w:firstLine="709"/>
      </w:pPr>
      <w:r>
        <w:t>– подписание договора аренды помещения по адресу ул. Радиозаводская, д. 2 (142,5 м²);</w:t>
      </w:r>
    </w:p>
    <w:p>
      <w:pPr>
        <w:ind w:firstLine="709"/>
      </w:pPr>
      <w:r>
        <w:t>– оформление кредитного договора МСП (2 000 000 рублей, 12% годовых, 36 месяцев);</w:t>
      </w:r>
    </w:p>
    <w:p>
      <w:pPr>
        <w:ind w:firstLine="709"/>
      </w:pPr>
      <w:r>
        <w:t>– разработка конструкторской и технологической документации на комбинированный извещатель (принципиальная электрическая схема, сборочный чертёж, технические условия);</w:t>
      </w:r>
    </w:p>
    <w:p>
      <w:pPr>
        <w:ind w:firstLine="709"/>
      </w:pPr>
      <w:r>
        <w:t>– проведение тендера на закупку основного технологического оборудования (стенд «СИ-ТДК», климатическая камера, паяльные станции);</w:t>
      </w:r>
    </w:p>
    <w:p>
      <w:pPr>
        <w:ind w:firstLine="709"/>
      </w:pPr>
      <w:r>
        <w:t>– размещение заказа на изготовление пресс-формы для литья пластикового корпуса.</w:t>
      </w:r>
    </w:p>
    <w:p>
      <w:r>
        <w:t>Вторая стадия — инвестиционная (недели 5–12, октябрь–ноябрь 2026). Наиболее капиталоёмкая и технически сложная стадия, состоящая из параллельно идущих процессов:</w:t>
      </w:r>
    </w:p>
    <w:p>
      <w:pPr>
        <w:ind w:firstLine="709"/>
      </w:pPr>
      <w:r>
        <w:t>– ремонт и подготовка помещения: монтаж антистатических ESD-полов, контура заземления, приточно-вытяжной вентиляции, промышленного освещения (4 недели);</w:t>
      </w:r>
    </w:p>
    <w:p>
      <w:pPr>
        <w:ind w:firstLine="709"/>
      </w:pPr>
      <w:r>
        <w:t>– закупка и доставка основного оборудования: стенд «СИ-ТДК», камера «Тепло-Влага ПРО КТВ 0/130-120», паяльные станции Quick 203H ESD, дымоуловители DUET, принтер Godex RT230 (6 недель, включая логистику);</w:t>
      </w:r>
    </w:p>
    <w:p>
      <w:pPr>
        <w:ind w:firstLine="709"/>
      </w:pPr>
      <w:r>
        <w:t>– монтаж и пусконаладка технологического оборудования: установка стенда, подключение к электросети, калибровка измерительных каналов (2 недели);</w:t>
      </w:r>
    </w:p>
    <w:p>
      <w:pPr>
        <w:ind w:firstLine="709"/>
      </w:pPr>
      <w:r>
        <w:t>– установка и настройка автоматизированных рабочих мест (АРМ) программатора: ПК, среда разработки MounRiver Studio, программатор WCH-LinkE, отладка процедуры прошивки микроконтроллера CH32V003 (1 неделя);</w:t>
      </w:r>
    </w:p>
    <w:p>
      <w:pPr>
        <w:ind w:firstLine="709"/>
      </w:pPr>
      <w:r>
        <w:t>– закупка стартовой партии электронной компонентной базы (ЭКБ) и печатных плат с SMT-монтажом у ООО «Электроконнект» (3 недели на изготовление и доставку);</w:t>
      </w:r>
    </w:p>
    <w:p>
      <w:pPr>
        <w:ind w:firstLine="709"/>
      </w:pPr>
      <w:r>
        <w:t>– получение первой партии пластиковых корпусов от контрактного литьевого производства (параллельно с изготовлением пресс-формы, общий срок 8 недель от заказа).</w:t>
      </w:r>
    </w:p>
    <w:p>
      <w:r>
        <w:t>Третья стадия — предпусковая (недели 13–16, декабрь 2026). Критическая стадия, по завершении которой предприятие получает юридическое право на выпуск и реализацию продукции:</w:t>
      </w:r>
    </w:p>
    <w:p>
      <w:pPr>
        <w:ind w:firstLine="709"/>
      </w:pPr>
      <w:r>
        <w:t>– найм и обучение производственного персонала: сборщики РЭА, техник ОТК (2 недели);</w:t>
      </w:r>
    </w:p>
    <w:p>
      <w:pPr>
        <w:ind w:firstLine="709"/>
      </w:pPr>
      <w:r>
        <w:t>– сборка пробной партии извещателей (30–50 штук) для внутренней отработки технологического процесса и настройки алгоритмов MES-системы (1 неделя);</w:t>
      </w:r>
    </w:p>
    <w:p>
      <w:pPr>
        <w:ind w:firstLine="709"/>
      </w:pPr>
      <w:r>
        <w:t>– подготовка и передача образцов продукции в аккредитованную испытательную лабораторию для проведения сертификационных испытаний по ТР ЕАЭС 043/2017 (подача документов — 1 неделя, лабораторные испытания — 3–4 недели, с учётом наложения на декабрь–январь);</w:t>
      </w:r>
    </w:p>
    <w:p>
      <w:pPr>
        <w:ind w:firstLine="709"/>
      </w:pPr>
      <w:r>
        <w:t>– получение сертификата соответствия и нанесение знака обращения продукции на рынке (ЕАС) — является обязательным условием начала коммерческой реализации.</w:t>
      </w:r>
    </w:p>
    <w:p>
      <w:r>
        <w:t>[МЕСТО ДЛЯ ДИАГРАММЫ ГАНТА: Календарный план реализации инвестиционного проекта]</w:t>
      </w:r>
    </w:p>
    <w:p>
      <w:pPr>
        <w:pStyle w:val="FigureCaption"/>
      </w:pPr>
      <w:r>
        <w:t>Рисунок 2 – Календарный план реализации инвестиционного проекта (диаграмма Ганта)</w:t>
      </w:r>
    </w:p>
    <w:p>
      <w:pPr>
        <w:pStyle w:val="TableCaption"/>
      </w:pPr>
      <w:r>
        <w:t>Таблица 10 – Календарный план реализации инвестиционного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Наименование этапа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Срок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b/>
                <w:sz w:val="24"/>
              </w:rPr>
              <w:t>Длительность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Регистрация ООО, оформление кредита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Сентябрь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 недели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Подписание договора аренды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Сентябрь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 неделя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Разработка КД и ТУ на извещатель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Сентябрь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4 недели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Тендер и закупка оборудования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Сентябрь–Октябрь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3 недели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Заказ пресс-формы корпуса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Сентябрь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8 недель (до конца октября)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Ремонт помещения, ESD-зона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Октябрь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4 недели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Поставка и монтаж оборудования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Октябрь–Ноябрь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6 недель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Пусконаладка стенда «СИ-ТДК»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Ноябрь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 недели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Настройка АРМ программатора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Ноябрь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 неделя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10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Закупка стартовой партии ЭКБ и плат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Октябрь–Ноябрь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3 недели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11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Найм и обучение персонала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Декабрь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2 недели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12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Сборка пробной партии (50 шт.)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Декабрь 2026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 неделя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13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Сертификация по ТР ЕАЭС 043/2017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Декабрь 2026 – Январь 2027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4 недели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14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Запуск серийного производства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1 января 2027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Liberation Serif" w:hAnsi="Liberation Serif"/>
                <w:sz w:val="24"/>
              </w:rPr>
              <w:t>—</w:t>
            </w:r>
          </w:p>
        </w:tc>
      </w:tr>
    </w:tbl>
    <w:p>
      <w:r>
        <w:t>Таким образом, общая продолжительность инвестиционной фазы проекта составляет 4 месяца (с 1 сентября по 31 декабря 2026 года). Запуск серийного производства и начало операционной деятельности предприятия запланированы на 1 января 2027 года при условии успешного прохождения сертификационных испытаний. Критическим путём проекта является цепочка: заказ пресс-формы (8 недель) → получение корпусов → сборка пробной партии → подача на сертификацию. Любая задержка на данном пути прямо влияет на дату начала коммерческой реализации.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Liberation Serif" w:hAnsi="Liberation Serif" w:cs="Liberation Serif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Liberation Serif" w:hAnsi="Liberation Serif" w:cs="Liberation Serif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spacing w:line="240" w:lineRule="auto" w:before="240" w:after="120"/>
      <w:ind w:firstLine="0"/>
      <w:jc w:val="right"/>
    </w:pPr>
    <w:rPr>
      <w:rFonts w:ascii="Liberation Serif" w:hAnsi="Liberation Serif"/>
      <w:sz w:val="24"/>
    </w:rPr>
  </w:style>
  <w:style w:type="paragraph" w:customStyle="1" w:styleId="FigureCaption">
    <w:name w:val="FigureCaption"/>
    <w:pPr>
      <w:spacing w:line="240" w:lineRule="auto" w:before="120" w:after="240"/>
      <w:ind w:firstLine="0"/>
      <w:jc w:val="center"/>
    </w:pPr>
    <w:rPr>
      <w:rFonts w:ascii="Liberation Serif" w:hAnsi="Liberation Seri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