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3.3 Управление качеством</w:t>
      </w:r>
    </w:p>
    <w:p>
      <w:r>
        <w:t>Выпуск комбинированных пожарных извещателей, предназначенных для эксплуатации в системах противопожарной защиты зданий и сооружений, предъявляет исключительно высокие требования к системе контроля качества производственного процесса. Отказ одного извещателя на объекте может привести к несвоевременному обнаружению пожара и катастрофическим последствиям для людей и имущества. Одновременно с этим ложное срабатывание влечёт штрафные санкции со стороны органов государственного пожарного надзора, вызов пожарных расчётов и репутационные потери для монтажной организации. В связи с этим на проектируемом предприятии внедряется система тотального управления качеством, основанная на принципе 100% автоматизированного инструментального контроля каждой единицы выпускаемой продукции.</w:t>
      </w:r>
    </w:p>
    <w:p>
      <w:r>
        <w:t>Данный подход принципиально отличается от статистического выборочного контроля (по ГОСТ Р ИСО 2859), применяемого на крупных конвейерных производствах, где тестируется от 1 до 5 процентов партии. При объёме производства 700 изделий в месяц предприятие имеет техническую и экономическую возможность протестировать каждый извещатель на комбинированном стенде «СИ-ТДК», что полностью исключает попадание брака в отгрузочную партию и является ключевым уникальным торговым предложением ООО «СигналПром» на рынке B2B-продаж монтажным организациям.</w:t>
      </w:r>
    </w:p>
    <w:p>
      <w:r>
        <w:t>Технологический процесс производства и контроля качества представляет собой линейный поток материалов с обязательными межоперационными точками контроля. Общая блок-схема технологического процесса включает шесть последовательных этапов: входной контроль, ручной монтаж выводных компонентов, прошивка микроконтроллера, автоматизированное тестирование на стенде «СИ-ТДК», маркировка и сериализация, упаковка и складирование.</w:t>
      </w:r>
    </w:p>
    <w:p>
      <w:r>
        <w:t>[МЕСТО ДЛЯ БЛОК-СХЕМЫ: Технологический процесс сборки и контроля качества]</w:t>
      </w:r>
    </w:p>
    <w:p>
      <w:pPr>
        <w:pStyle w:val="FigureCaption"/>
      </w:pPr>
      <w:r>
        <w:t>Рисунок 3 – Блок-схема технологического процесса сборки и контроля качества комбинированного извещателя</w:t>
      </w:r>
    </w:p>
    <w:p>
      <w:r>
        <w:t>Этап 1. Входной контроль комплектующих (ВТК). Партии печатных плат с выполненным SMT-монтажом, поступающие от контрактного производителя ООО «Электроконнект», подвергаются обязательному визуальному и инструментальному контролю. Техник ОТК осуществляет выборочную проверку качества пайки SMD-компонентов под бинокулярным микроскопом (в соответствии с критериями приёмки IPC-A-610 класс 2), а также инструментальную проверку электрических параметров мультиметром (целостность цепей питания, отсутствие коротких замыканий между шинами). Партии, не прошедшие входной контроль, возвращаются поставщику по рекламации. Пластиковые корпуса проверяются на отсутствие деформаций, сколов и целостность воздухозаборных щелей дымовой камеры.</w:t>
      </w:r>
    </w:p>
    <w:p>
      <w:r>
        <w:t>Этап 2. Ручной монтаж выводных компонентов и сборка. Сборщик РЭА выполняет следующие операции на антистатическом рабочем месте, оснащённом индукционной паяльной станцией Quick 203H ESD и дымоуловителем DUET FE-250-2-А:</w:t>
      </w:r>
    </w:p>
    <w:p>
      <w:pPr>
        <w:ind w:firstLine="709"/>
      </w:pPr>
      <w:r>
        <w:t>– впаивание выводных оптических компонентов — ИК-излучателя Kingbright L-34F3C и фототранзистора Lite-On LTR-301 — в посадочные места на печатной плате с соблюдением температурного профиля пайки (температура жала 350 °C, время контакта не более 3 секунд);</w:t>
      </w:r>
    </w:p>
    <w:p>
      <w:pPr>
        <w:ind w:firstLine="709"/>
      </w:pPr>
      <w:r>
        <w:t>– впаивание NTC-термистора Murata NCP18XH103F03RB (выводной вариант для THT-монтажа, если не установлен на SMT-этапе);</w:t>
      </w:r>
    </w:p>
    <w:p>
      <w:pPr>
        <w:ind w:firstLine="709"/>
      </w:pPr>
      <w:r>
        <w:t>– установка оптического лабиринта (дымовой камеры) на печатную плату и фиксация защёлками;</w:t>
      </w:r>
    </w:p>
    <w:p>
      <w:pPr>
        <w:ind w:firstLine="709"/>
      </w:pPr>
      <w:r>
        <w:t>– механическая сборка: защёлкивание платы с лабиринтом в нижнюю часть пластикового корпуса, установка верхней крышки;</w:t>
      </w:r>
    </w:p>
    <w:p>
      <w:pPr>
        <w:ind w:firstLine="709"/>
      </w:pPr>
      <w:r>
        <w:t>– визуальный контроль собранного изделия: проверка корректности защёлкивания, отсутствия зазоров, свободного прохождения воздуха через дымовую камеру.</w:t>
      </w:r>
    </w:p>
    <w:p>
      <w:r>
        <w:t>Среднее время выполнения этапа 2 составляет 12–15 минут на одно изделие. При работе двух сборщиков в штатном режиме производительность участка ручного монтажа составляет до 40–45 изделий за рабочую смену (8 часов).</w:t>
      </w:r>
    </w:p>
    <w:p>
      <w:r>
        <w:t>Этап 3. Программирование (прошивка) микроконтроллера. Собранное изделие подключается к автоматизированному рабочему месту (АРМ) программатора через интерфейс SWD (Serial Wire Debug) посредством аппаратного программатора WCH-LinkE. Процедура прошивки полностью автоматизирована: скрипт среды разработки MounRiver Studio последовательно выполняет стирание памяти микроконтроллера CH32V003F4P6, запись бинарного файла встроенного программного обеспечения (firmware), верификацию контрольной суммы (CRC-32) и присвоение уникального серийного номера изделия. Результат операции (успех или ошибка) автоматически регистрируется в базе данных MES-системы. Время прошивки одного изделия — менее 30 секунд. При использовании группового программатора (до 4 изделий одновременно) производительность этапа не является узким местом технологического процесса.</w:t>
      </w:r>
    </w:p>
    <w:p>
      <w:r>
        <w:t>Этап 4. Автоматизированное функциональное тестирование на комбинированном стенде «СИ-ТДК». Данный этап является ключевым элементом системы управления качеством и центральным объектом автоматизации в настоящей выпускной квалификационной работе.</w:t>
      </w:r>
    </w:p>
    <w:p>
      <w:r>
        <w:t>Комбинированный стенд «СИ-ТДК» предназначен для проведения функциональных испытаний, испытаний по устойчивости к повышенной температуре и изменению напряжений питания извещателей пожарных тепловых точечных, тепловых линейных и дымовых оптико-электронных точечных. Стенд объединяет в единой конструкции аэродинамический канал для тестирования дымового сенсора и термокамеру для тестирования теплового канала, что позволяет провести полный цикл функциональных испытаний комбинированного извещателя на одной установке без перемещения изделия между различными стендами.</w:t>
      </w:r>
    </w:p>
    <w:p>
      <w:r>
        <w:t>Алгоритм автоматизированного тестирования дымового канала реализуется следующим образом. Техник ОТК размещает партию собранных и запрограммированных извещателей (до 10 единиц одновременно) в оснастку стенда. После герметизации измерительной зоны автоматика стенда выполняет последовательность операций:</w:t>
      </w:r>
    </w:p>
    <w:p>
      <w:pPr>
        <w:ind w:firstLine="709"/>
      </w:pPr>
      <w:r>
        <w:t>– запуск вентиляторов и стабилизация ламинарного воздушного потока на скорости 0,20 ± 0,04 м/с (в соответствии с требованиями Приложения Д ГОСТ Р 53325-2024);</w:t>
      </w:r>
    </w:p>
    <w:p>
      <w:pPr>
        <w:ind w:firstLine="709"/>
      </w:pPr>
      <w:r>
        <w:t>– активация генератора тестового аэрозоля и дозированная подача стандартизированного имитатора дыма с контролируемым нарастанием оптической плотности;</w:t>
      </w:r>
    </w:p>
    <w:p>
      <w:pPr>
        <w:ind w:firstLine="709"/>
      </w:pPr>
      <w:r>
        <w:t>– плавное увеличение удельной оптической плотности среды с градиентной скоростью от 0,015 до 0,1 дБ/м в минуту до достижения порога срабатывания;</w:t>
      </w:r>
    </w:p>
    <w:p>
      <w:pPr>
        <w:ind w:firstLine="709"/>
      </w:pPr>
      <w:r>
        <w:t>– регистрация момента срабатывания каждого извещателя по цифровому интерфейсу (RS-485 или двухпроводная адресная линия) с фиксацией значения оптической плотности в момент перехода в состояние «Пожар»;</w:t>
      </w:r>
    </w:p>
    <w:p>
      <w:pPr>
        <w:ind w:firstLine="709"/>
      </w:pPr>
      <w:r>
        <w:t>– сравнение зафиксированного порога срабатывания с нормативным коридором (от 0,05 до 0,20 дБ/м для извещателей класса чувствительности, определённого техническими условиями);</w:t>
      </w:r>
    </w:p>
    <w:p>
      <w:pPr>
        <w:ind w:firstLine="709"/>
      </w:pPr>
      <w:r>
        <w:t>– автоматическое проветривание измерительной зоны до прозрачности воздуха менее 0,02 дБ/м.</w:t>
      </w:r>
    </w:p>
    <w:p>
      <w:r>
        <w:t>Алгоритм тестирования теплового канала реализуется в термокамере того же стенда «СИ-ТДК». Автоматика стенда осуществляет нагрев воздушной среды с заданным температурным градиентом (от 5 до 30 °C в минуту), имитируя условия развития реального пожара. Микроконтроллер CH32V003 каждого тестируемого извещателя анализирует данные с NTC-термистора Murata NCP18 и должен корректно отработать дифференциальный градиент, сформировав сигнал тревоги по цифровой шине. Далее камера переходит в режим тестирования абсолютного максимального порога, плавно повышая температуру до статических значений класса извещателя (от +54 °C до +70 °C для класса A2R). Извещатели, успешно и своевременно подавшие сигнал «Пожар» в обоих термических режимах (дифференциальном и максимальном), проходят тепловой тест.</w:t>
      </w:r>
    </w:p>
    <w:p>
      <w:r>
        <w:t>По завершении полного цикла испытаний (дымовой канал + тепловой канал) стенд автоматически формирует цифровой протокол для каждого серийного номера, содержащий: значение оптической плотности при срабатывании дымового канала; температуру и временнýю задержку срабатывания теплового канала; результаты проверки при пониженном и повышенном напряжении питания. Протокол передаётся в MES-систему предприятия.</w:t>
      </w:r>
    </w:p>
    <w:p>
      <w:r>
        <w:t>Дополнительно на предприятии эксплуатируется климатическая камера «Тепло-Влага ПРО КТВ 0/130-120 silent», предназначенная для проведения расширенных квалификационных (типовых) испытаний. В отличие от стенда «СИ-ТДК», используемого для 100% приёмо-сдаточного контроля, климатическая камера применяется для периодических испытаний выборки из серийной партии на устойчивость к воздействию повышенной влажности (до 98%), циклическим перепадам температур (от 0 до +130 °C) и длительному термостарению. Результаты квалификационных испытаний являются обязательным приложением к сертификату соответствия ТР ЕАЭС 043/2017 и подтверждают заявленный срок службы изделия (не менее 10 лет по ГОСТ Р 53325-2024).</w:t>
      </w:r>
    </w:p>
    <w:p>
      <w:r>
        <w:t>Этап 5. Сериализация, маркировка и блокировка брака. MES-система предприятия агрегирует цифровые протоколы испытаний от стенда «СИ-ТДК» и формирует решение «годен/брак» для каждого серийного номера. Логика принятия решения полностью автоматизирована и исключает влияние человеческого фактора:</w:t>
      </w:r>
    </w:p>
    <w:p>
      <w:pPr>
        <w:ind w:firstLine="709"/>
      </w:pPr>
      <w:r>
        <w:t>– если цифровой профиль изделия содержит положительные результаты по ВСЕМ тестам (дымовой канал, тепловой дифференциальный, тепловой максимальный, напряжение питания), MES-система формирует команду термотрансферному принтеру Godex RT230 на печать самоклеящейся полимерной этикетки с уникальным серийным номером, датой выпуска, DataMatrix-кодом и единым знаком обращения продукции на рынке (ЕАС);</w:t>
      </w:r>
    </w:p>
    <w:p>
      <w:pPr>
        <w:ind w:firstLine="709"/>
      </w:pPr>
      <w:r>
        <w:t>– если хотя бы ОДИН параметр выходит за пределы допуска, MES-система аппаратно БЛОКИРУЕТ принтер (физически исключая возможность нанесения этикетки на бракованное изделие) и переводит запись в электронный журнал изолятора брака с указанием причины отбраковки;</w:t>
      </w:r>
    </w:p>
    <w:p>
      <w:pPr>
        <w:ind w:firstLine="709"/>
      </w:pPr>
      <w:r>
        <w:t>– бракованные изделия изымаются из производственного потока, маркируются красным стикером и направляются на участок анализа дефектов для выявления причины и корректирующих действий.</w:t>
      </w:r>
    </w:p>
    <w:p>
      <w:r>
        <w:t>Принципиальным преимуществом данной архитектуры является невозможность попадания бракованной продукции в отгрузочную партию даже при ошибке или недобросовестности персонала: без физической этикетки с DataMatrix-кодом изделие не может быть учтено в системе складского хранения и не подлежит отгрузке заказчику.</w:t>
      </w:r>
    </w:p>
    <w:p>
      <w:r>
        <w:t>Этап 6. Упаковка и складирование. Успешно прошедшие все испытания извещатели с нанесённой маркировкой укладываются в индивидуальную картонную упаковку, комплектуемую паспортом изделия (с указанием серийного номера и даты выпуска), инструкцией по монтажу и монтажной базой. Упакованная продукция размещается на стеллажах склада готовой продукции для последующей отгрузки дистрибьюторам и монтажным организациям через транспортные компании (СДЭК, «Деловые Линии»).</w:t>
      </w:r>
    </w:p>
    <w:p>
      <w:r>
        <w:t>Внедрение описанной системы автоматизированного контроля качества обеспечивает достижение следующих технико-экономических эффектов:</w:t>
      </w:r>
    </w:p>
    <w:p>
      <w:pPr>
        <w:ind w:firstLine="709"/>
      </w:pPr>
      <w:r>
        <w:t>– гарантированное отсутствие скрытого производственного брака в отгружаемой продукции (уровень дефектности менее 0,1% за счёт 100% выходного контроля);</w:t>
      </w:r>
    </w:p>
    <w:p>
      <w:pPr>
        <w:ind w:firstLine="709"/>
      </w:pPr>
      <w:r>
        <w:t>– полная прослеживаемость каждого изделия на протяжении всего жизненного цикла (по серийному номеру можно восстановить результаты испытаний через 10 лет после выпуска);</w:t>
      </w:r>
    </w:p>
    <w:p>
      <w:pPr>
        <w:ind w:firstLine="709"/>
      </w:pPr>
      <w:r>
        <w:t>– объективное документальное подтверждение качества для заказчиков — монтажных организаций (цифровой паспорт испытаний по запросу);</w:t>
      </w:r>
    </w:p>
    <w:p>
      <w:pPr>
        <w:ind w:firstLine="709"/>
      </w:pPr>
      <w:r>
        <w:t>– снижение расходов на гарантийное обслуживание и рекламации до минимума;</w:t>
      </w:r>
    </w:p>
    <w:p>
      <w:pPr>
        <w:ind w:firstLine="709"/>
      </w:pPr>
      <w:r>
        <w:t>– соответствие требованиям ГОСТ Р 53325-2024 по электромагнитной совместимости и устойчивости к воздействию повышенной температуры;</w:t>
      </w:r>
    </w:p>
    <w:p>
      <w:pPr>
        <w:ind w:firstLine="709"/>
      </w:pPr>
      <w:r>
        <w:t>– формирование конкурентного преимущества перед производителями, применяющими статистический выборочный контроль.</w:t>
      </w:r>
    </w:p>
    <w:p>
      <w:r>
        <w:t>Таким образом, система управления качеством на предприятии ООО «СигналПром» построена на принципе гибридной автоматизации: ручная высококвалифицированная сборка сочетается с полностью автоматизированным инструментальным тестированием и программно-аппаратной блокировкой выпуска брака. Данный подход соответствует направлению подготовки 15.03.04 «Автоматизация технологических процессов и производств» и демонстрирует практическую реализацию принципов автоматизации на малом производственном предприятии радиоэлектронной отрасли.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Liberation Serif" w:hAnsi="Liberation Serif" w:cs="Liberation Serif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0" w:after="240" w:line="360" w:lineRule="auto"/>
      <w:ind w:firstLine="0"/>
      <w:jc w:val="center"/>
      <w:outlineLvl w:val="1"/>
    </w:pPr>
    <w:rPr>
      <w:rFonts w:asciiTheme="majorHAnsi" w:eastAsiaTheme="majorEastAsia" w:hAnsiTheme="majorHAnsi" w:cstheme="majorBidi" w:ascii="Liberation Serif" w:hAnsi="Liberation Serif" w:cs="Liberation Serif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0" w:after="240" w:line="360" w:lineRule="auto"/>
      <w:ind w:firstLine="0"/>
      <w:jc w:val="center"/>
      <w:outlineLvl w:val="2"/>
    </w:pPr>
    <w:rPr>
      <w:rFonts w:asciiTheme="majorHAnsi" w:eastAsiaTheme="majorEastAsia" w:hAnsiTheme="majorHAnsi" w:cstheme="majorBidi" w:ascii="Liberation Serif" w:hAnsi="Liberation Serif" w:cs="Liberation Serif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Caption"/>
    <w:pPr>
      <w:spacing w:line="240" w:lineRule="auto" w:before="120" w:after="240"/>
      <w:ind w:firstLine="0"/>
      <w:jc w:val="center"/>
    </w:pPr>
    <w:rPr>
      <w:rFonts w:ascii="Liberation Serif" w:hAnsi="Liberation Seri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