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ВВЕДЕНИЕ</w:t>
      </w:r>
    </w:p>
    <w:p>
      <w:r>
        <w:t>Обеспечение пожарной безопасности промышленных, гражданских и коммерческих объектов является приоритетной задачей эксплуатации зданий. В системах пожарной сигнализации ключевым элементом выступает пожарный извещатель — устройство, формирующее сигнал о появлении признаков пожара [1].</w:t>
      </w:r>
    </w:p>
    <w:p>
      <w:r>
        <w:t>Комбинированные дымо-тепловые извещатели используют два независимых признака (дым и рост температуры), что повышает достоверность обнаружения и снижает вероятность ложных срабатываний [2]. Целью данной выпускной квалификационной работы является разработка инвестиционного проекта производственного предприятия по выпуску комбинированных пожарных извещателей.</w:t>
      </w:r>
    </w:p>
    <w:p>
      <w:pPr>
        <w:pStyle w:val="Heading1"/>
      </w:pPr>
      <w:r>
        <w:t>1. Технико-экономическое обоснование проекта</w:t>
      </w:r>
    </w:p>
    <w:p>
      <w:pPr>
        <w:pStyle w:val="Heading2"/>
      </w:pPr>
      <w:r>
        <w:t>1.1 Обоснование целей открытия предприятия</w:t>
      </w:r>
    </w:p>
    <w:p>
      <w:r>
        <w:t>Цель инвестиционного проекта — создание малого производственного предприятия ООО «СигналПром», ориентированного на выпуск комбинированных дымо-тепловых пожарных извещателей для B2B-сегмента монтажных организаций.</w:t>
      </w:r>
    </w:p>
    <w:p>
      <w:pPr>
        <w:pStyle w:val="TableCaption"/>
      </w:pPr>
      <w:r>
        <w:t>Таблица 1 – Основные параметры инвестиционного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677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Площадь цеха</w:t>
            </w:r>
          </w:p>
        </w:tc>
        <w:tc>
          <w:tcPr>
            <w:tcW w:type="dxa" w:w="4677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100 м²</w:t>
            </w:r>
          </w:p>
        </w:tc>
      </w:tr>
      <w:tr>
        <w:tc>
          <w:tcPr>
            <w:tcW w:type="dxa" w:w="4677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Проектная мощность</w:t>
            </w:r>
          </w:p>
        </w:tc>
        <w:tc>
          <w:tcPr>
            <w:tcW w:type="dxa" w:w="4677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700 шт/мес</w:t>
            </w:r>
          </w:p>
        </w:tc>
      </w:tr>
      <w:tr>
        <w:tc>
          <w:tcPr>
            <w:tcW w:type="dxa" w:w="4677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Штат</w:t>
            </w:r>
          </w:p>
        </w:tc>
        <w:tc>
          <w:tcPr>
            <w:tcW w:type="dxa" w:w="4677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5 человек</w:t>
            </w:r>
          </w:p>
        </w:tc>
      </w:tr>
    </w:tbl>
    <w:p/>
    <w:p>
      <w:r>
        <w:t>[МЕСТО ДЛЯ РИСУНКА]</w:t>
      </w:r>
    </w:p>
    <w:p>
      <w:pPr>
        <w:pStyle w:val="FigureCaption"/>
      </w:pPr>
      <w:r>
        <w:t>Рисунок 1 – Структурно-логическая схема проекта</w:t>
      </w:r>
    </w:p>
    <w:p>
      <w:r>
        <w:t>Как показано на рисунке 1, ключевой особенностью предлагаемой бизнес-модели является принцип гибридной автоматизации: сборка передаётся на контрактное производство, а на собственном предприятии выполняется финишная сборка и 100% автоматизированное метрологическое тестирование.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/>
      <w:b w:val="0"/>
      <w:i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24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240" w:line="360" w:lineRule="auto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Caption"/>
    <w:pPr>
      <w:spacing w:line="240" w:lineRule="auto" w:before="240" w:after="120"/>
      <w:ind w:firstLine="0"/>
      <w:jc w:val="right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FigureCaption">
    <w:name w:val="FigureCaption"/>
    <w:pPr>
      <w:spacing w:line="240" w:lineRule="auto" w:before="120" w:after="240"/>
      <w:ind w:firstLine="0"/>
      <w:jc w:val="center"/>
    </w:pPr>
    <w:rPr>
      <w:rFonts w:ascii="Times New Roman" w:hAnsi="Times New Roman"/>
      <w:b w:val="0"/>
      <w:i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