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1.2 Анализ рынка</w:t>
      </w:r>
    </w:p>
    <w:p>
      <w:r>
        <w:t>Объективная оценка инвестиционной привлекательности проекта невозможна без детального анализа рыночной среды, конкурентного ландшафта и динамики формирования спроса на выпускаемую продукцию. Рынок систем пожарной сигнализации Российской Федерации к маю 2026 года прошёл через беспрецедентную структурную трансформацию, которая кардинально изменила условия входа новых производственных предприятий и перераспределила доли между участниками отрасли.</w:t>
      </w:r>
    </w:p>
    <w:p>
      <w:r>
        <w:t>По итогам 2025 года объём российского рынка пожарной автоматики достиг исторического максимума, составив приблизительно 54 миллиарда рублей, что демонстрирует устойчивый рост на 10% в денежном выражении по сравнению с показателями 2024 года. Данная динамика полностью коррелирует с глобальными макроэкономическими трендами: мировой рынок адресных систем пожарной автоматики в 2025 году оценивался в 4,3 миллиарда долларов США, а его прогнозируемый рост к 2032 году должен достичь 7,62 миллиарда долларов США при среднегодовом темпе роста CAGR на уровне 7,42%. Увеличение финансовых показателей отечественных производителей было достигнуто на фоне объективного удорожания электронных компонентов, усложнения логистических цепочек и дефицита квалифицированных кадров в радиоэлектронной промышленности.</w:t>
      </w:r>
    </w:p>
    <w:p>
      <w:pPr>
        <w:pStyle w:val="TableCaption"/>
      </w:pPr>
      <w:r>
        <w:t>Таблица 1 – Динамика объёма российского рынка пожарной автоматики в 2023–2026 годах</w:t>
      </w:r>
    </w:p>
    <w:tbl>
      <w:tblPr>
        <w:tblStyle w:val="TableGrid"/>
        <w:tblW w:type="auto" w:w="0"/>
        <w:tblLook w:firstColumn="1" w:firstRow="1" w:lastColumn="0" w:lastRow="0" w:noHBand="0" w:noVBand="1" w:val="04A0"/>
      </w:tblPr>
      <w:tblGrid>
        <w:gridCol w:w="3230"/>
        <w:gridCol w:w="3230"/>
        <w:gridCol w:w="3230"/>
      </w:tblGrid>
      <w:tr>
        <w:tc>
          <w:tcPr>
            <w:tcW w:type="dxa" w:w="3230"/>
          </w:tcPr>
          <w:p>
            <w:pPr>
              <w:spacing w:line="240" w:lineRule="auto" w:before="0" w:after="0"/>
              <w:ind w:firstLine="0"/>
              <w:jc w:val="center"/>
            </w:pPr>
            <w:r>
              <w:rPr>
                <w:rFonts w:ascii="Liberation Serif" w:hAnsi="Liberation Serif"/>
                <w:sz w:val="24"/>
              </w:rPr>
              <w:t>Год</w:t>
            </w:r>
          </w:p>
        </w:tc>
        <w:tc>
          <w:tcPr>
            <w:tcW w:type="dxa" w:w="3230"/>
          </w:tcPr>
          <w:p>
            <w:pPr>
              <w:spacing w:line="240" w:lineRule="auto" w:before="0" w:after="0"/>
              <w:ind w:firstLine="0"/>
              <w:jc w:val="center"/>
            </w:pPr>
            <w:r>
              <w:rPr>
                <w:rFonts w:ascii="Liberation Serif" w:hAnsi="Liberation Serif"/>
                <w:sz w:val="24"/>
              </w:rPr>
              <w:t>Объём рынка, млрд руб.</w:t>
            </w:r>
          </w:p>
        </w:tc>
        <w:tc>
          <w:tcPr>
            <w:tcW w:type="dxa" w:w="3230"/>
          </w:tcPr>
          <w:p>
            <w:pPr>
              <w:spacing w:line="240" w:lineRule="auto" w:before="0" w:after="0"/>
              <w:ind w:firstLine="0"/>
              <w:jc w:val="center"/>
            </w:pPr>
            <w:r>
              <w:rPr>
                <w:rFonts w:ascii="Liberation Serif" w:hAnsi="Liberation Serif"/>
                <w:sz w:val="24"/>
              </w:rPr>
              <w:t>Прирост к предыдущему году, %</w:t>
            </w:r>
          </w:p>
        </w:tc>
      </w:tr>
      <w:tr>
        <w:tc>
          <w:tcPr>
            <w:tcW w:type="dxa" w:w="3230"/>
          </w:tcPr>
          <w:p>
            <w:pPr>
              <w:spacing w:line="240" w:lineRule="auto" w:before="0" w:after="0"/>
              <w:ind w:firstLine="0"/>
              <w:jc w:val="center"/>
            </w:pPr>
            <w:r>
              <w:rPr>
                <w:rFonts w:ascii="Liberation Serif" w:hAnsi="Liberation Serif"/>
                <w:sz w:val="24"/>
              </w:rPr>
              <w:t>2023</w:t>
            </w:r>
          </w:p>
        </w:tc>
        <w:tc>
          <w:tcPr>
            <w:tcW w:type="dxa" w:w="3230"/>
          </w:tcPr>
          <w:p>
            <w:pPr>
              <w:spacing w:line="240" w:lineRule="auto" w:before="0" w:after="0"/>
              <w:ind w:firstLine="0"/>
              <w:jc w:val="center"/>
            </w:pPr>
            <w:r>
              <w:rPr>
                <w:rFonts w:ascii="Liberation Serif" w:hAnsi="Liberation Serif"/>
                <w:sz w:val="24"/>
              </w:rPr>
              <w:t>45,8</w:t>
            </w:r>
          </w:p>
        </w:tc>
        <w:tc>
          <w:tcPr>
            <w:tcW w:type="dxa" w:w="3230"/>
          </w:tcPr>
          <w:p>
            <w:pPr>
              <w:spacing w:line="240" w:lineRule="auto" w:before="0" w:after="0"/>
              <w:ind w:firstLine="0"/>
              <w:jc w:val="center"/>
            </w:pPr>
            <w:r>
              <w:rPr>
                <w:rFonts w:ascii="Liberation Serif" w:hAnsi="Liberation Serif"/>
                <w:sz w:val="24"/>
              </w:rPr>
              <w:t>+6,5</w:t>
            </w:r>
          </w:p>
        </w:tc>
      </w:tr>
      <w:tr>
        <w:tc>
          <w:tcPr>
            <w:tcW w:type="dxa" w:w="3230"/>
          </w:tcPr>
          <w:p>
            <w:pPr>
              <w:spacing w:line="240" w:lineRule="auto" w:before="0" w:after="0"/>
              <w:ind w:firstLine="0"/>
              <w:jc w:val="center"/>
            </w:pPr>
            <w:r>
              <w:rPr>
                <w:rFonts w:ascii="Liberation Serif" w:hAnsi="Liberation Serif"/>
                <w:sz w:val="24"/>
              </w:rPr>
              <w:t>2024</w:t>
            </w:r>
          </w:p>
        </w:tc>
        <w:tc>
          <w:tcPr>
            <w:tcW w:type="dxa" w:w="3230"/>
          </w:tcPr>
          <w:p>
            <w:pPr>
              <w:spacing w:line="240" w:lineRule="auto" w:before="0" w:after="0"/>
              <w:ind w:firstLine="0"/>
              <w:jc w:val="center"/>
            </w:pPr>
            <w:r>
              <w:rPr>
                <w:rFonts w:ascii="Liberation Serif" w:hAnsi="Liberation Serif"/>
                <w:sz w:val="24"/>
              </w:rPr>
              <w:t>49,1</w:t>
            </w:r>
          </w:p>
        </w:tc>
        <w:tc>
          <w:tcPr>
            <w:tcW w:type="dxa" w:w="3230"/>
          </w:tcPr>
          <w:p>
            <w:pPr>
              <w:spacing w:line="240" w:lineRule="auto" w:before="0" w:after="0"/>
              <w:ind w:firstLine="0"/>
              <w:jc w:val="center"/>
            </w:pPr>
            <w:r>
              <w:rPr>
                <w:rFonts w:ascii="Liberation Serif" w:hAnsi="Liberation Serif"/>
                <w:sz w:val="24"/>
              </w:rPr>
              <w:t>+7,2</w:t>
            </w:r>
          </w:p>
        </w:tc>
      </w:tr>
      <w:tr>
        <w:tc>
          <w:tcPr>
            <w:tcW w:type="dxa" w:w="3230"/>
          </w:tcPr>
          <w:p>
            <w:pPr>
              <w:spacing w:line="240" w:lineRule="auto" w:before="0" w:after="0"/>
              <w:ind w:firstLine="0"/>
              <w:jc w:val="center"/>
            </w:pPr>
            <w:r>
              <w:rPr>
                <w:rFonts w:ascii="Liberation Serif" w:hAnsi="Liberation Serif"/>
                <w:sz w:val="24"/>
              </w:rPr>
              <w:t>2025</w:t>
            </w:r>
          </w:p>
        </w:tc>
        <w:tc>
          <w:tcPr>
            <w:tcW w:type="dxa" w:w="3230"/>
          </w:tcPr>
          <w:p>
            <w:pPr>
              <w:spacing w:line="240" w:lineRule="auto" w:before="0" w:after="0"/>
              <w:ind w:firstLine="0"/>
              <w:jc w:val="center"/>
            </w:pPr>
            <w:r>
              <w:rPr>
                <w:rFonts w:ascii="Liberation Serif" w:hAnsi="Liberation Serif"/>
                <w:sz w:val="24"/>
              </w:rPr>
              <w:t>54,0</w:t>
            </w:r>
          </w:p>
        </w:tc>
        <w:tc>
          <w:tcPr>
            <w:tcW w:type="dxa" w:w="3230"/>
          </w:tcPr>
          <w:p>
            <w:pPr>
              <w:spacing w:line="240" w:lineRule="auto" w:before="0" w:after="0"/>
              <w:ind w:firstLine="0"/>
              <w:jc w:val="center"/>
            </w:pPr>
            <w:r>
              <w:rPr>
                <w:rFonts w:ascii="Liberation Serif" w:hAnsi="Liberation Serif"/>
                <w:sz w:val="24"/>
              </w:rPr>
              <w:t>+10,0</w:t>
            </w:r>
          </w:p>
        </w:tc>
      </w:tr>
      <w:tr>
        <w:tc>
          <w:tcPr>
            <w:tcW w:type="dxa" w:w="3230"/>
          </w:tcPr>
          <w:p>
            <w:pPr>
              <w:spacing w:line="240" w:lineRule="auto" w:before="0" w:after="0"/>
              <w:ind w:firstLine="0"/>
              <w:jc w:val="center"/>
            </w:pPr>
            <w:r>
              <w:rPr>
                <w:rFonts w:ascii="Liberation Serif" w:hAnsi="Liberation Serif"/>
                <w:sz w:val="24"/>
              </w:rPr>
              <w:t>2026 (прогноз)</w:t>
            </w:r>
          </w:p>
        </w:tc>
        <w:tc>
          <w:tcPr>
            <w:tcW w:type="dxa" w:w="3230"/>
          </w:tcPr>
          <w:p>
            <w:pPr>
              <w:spacing w:line="240" w:lineRule="auto" w:before="0" w:after="0"/>
              <w:ind w:firstLine="0"/>
              <w:jc w:val="center"/>
            </w:pPr>
            <w:r>
              <w:rPr>
                <w:rFonts w:ascii="Liberation Serif" w:hAnsi="Liberation Serif"/>
                <w:sz w:val="24"/>
              </w:rPr>
              <w:t>58,8</w:t>
            </w:r>
          </w:p>
        </w:tc>
        <w:tc>
          <w:tcPr>
            <w:tcW w:type="dxa" w:w="3230"/>
          </w:tcPr>
          <w:p>
            <w:pPr>
              <w:spacing w:line="240" w:lineRule="auto" w:before="0" w:after="0"/>
              <w:ind w:firstLine="0"/>
              <w:jc w:val="center"/>
            </w:pPr>
            <w:r>
              <w:rPr>
                <w:rFonts w:ascii="Liberation Serif" w:hAnsi="Liberation Serif"/>
                <w:sz w:val="24"/>
              </w:rPr>
              <w:t>+8,9</w:t>
            </w:r>
          </w:p>
        </w:tc>
      </w:tr>
    </w:tbl>
    <w:p>
      <w:r>
        <w:t>Главным триггером окончательного вытеснения иностранных брендов и формирования доминирующей доли отечественных производителей стал Приказ Министерства промышленности и торговли Российской Федерации №4611 от 8 октября 2024 года, вступивший в полную силу с мая 2025 года. Данный нормативный акт ввёл жёсткий запрет на параллельный импорт противопожарной продукции, исключив код товарной номенклатуры внешнеэкономической деятельности ТН ВЭД 8531 из перечня товаров, разрешённых для ввоза без согласия правообладателей. Инициатором данного фундаментального изменения выступила Автономная некоммерческая организация «Консорциум «Производители охранных, пожарных, СКУД систем безопасности» (АНО «Консорциум ПОПСБ»), объединяющая ведущие российские предприятия отрасли.</w:t>
      </w:r>
    </w:p>
    <w:p>
      <w:r>
        <w:t>Следствием указанных мер стало то, что к маю 2026 года доля отечественных производителей в государственном, муниципальном и крупном корпоративном секторах приблизилась к абсолютным значениям. Российские компании, такие как ЗАО «НВП «Болид», ГК «Рубеж», Rubetek, АО «Эридан» и НПФ «Полисервис», получили эксклюзивный доступ к высокомаржинальным проектам. Интеграторы и проектировщики были вынуждены полностью переработать типовые проекты, заменив иностранные спецификации на отечественные аналоги. Это обеспечило беспрецедентный приток капитала к российским разработчикам, позволив им инвестировать в расширение производственных мощностей и собственные научно-исследовательские и опытно-конструкторские работы. Выручка ЗАО «Болид» по итогам 2025 года достигла 13,7 миллиарда рублей, а ГК «Рубеж» продемонстрировала стабильный рост выручки почти на 10%, удерживая лидерские позиции на рынке комплексных систем безопасности.</w:t>
      </w:r>
    </w:p>
    <w:p>
      <w:r>
        <w:t>Существенное влияние на структуру рынка оказывают изменения в нормативно-технической базе отрасли, произошедшие в период 2024–2026 годов. Обновлённый национальный стандарт ГОСТ Р 53325-2024 «Технические средства пожарной автоматики», заменивший редакцию 2012 года, установил беспрецедентно высокие планки качества для производителей оборудования. В частности, норматив защиты извещателей от электромагнитных помех увеличен более чем в три раза — с 3 В/м до 10 В/м; для уличных извещателей введён обязательный класс защиты не ниже IP65; минимальный гарантированный срок службы оборудования пожарной автоматики увеличен с 7 до 10 лет. Указанные требования фактически вытеснили с рынка низкотехнологичные моносенсорные устройства и обязали производителей использовать электронные компоненты промышленного класса.</w:t>
      </w:r>
    </w:p>
    <w:p>
      <w:r>
        <w:t>Свод правил СП 484.1311500.2020, регламентирующий нормы проектирования систем пожарной сигнализации, претерпел существенные доработки. Изменение №1 к СП 484, вступившее в силу с 1 сентября 2025 года, фундаментально изменило подход к топологии кабельных трасс и отказоустойчивости. Ключевым требованием стало повышение живучести адресной линии связи при единичной неисправности: допустимое число потерянных извещателей при коротком замыкании или обрыве линии снижено с 32 до 24 для автоматических извещателей и не более 1 для ручных пожарных извещателей. Это техническое требование сделало обязательным повсеместное применение изоляторов короткого замыкания, встраиваемых непосредственно в базу каждого адресного извещателя.</w:t>
      </w:r>
    </w:p>
    <w:p>
      <w:r>
        <w:t>Фундаментальным драйвером спроса на пожарные извещатели выступает строительный сектор, обладающий абсолютной эластичностью по отношению к объёмам ввода зданий и сооружений. В соответствии с требованиями Федерального закона №123-ФЗ «Технический регламент о требованиях пожарной безопасности» любое здание перед вводом в эксплуатацию обязано быть оснащено инженерными системами противопожарной защиты. По итогам 2025 года общий объём ввода жилья в Российской Федерации составил 108,1 миллиона квадратных метров, а за первые четыре месяца 2026 года в стране было введено в эксплуатацию ещё почти 29 миллионов квадратных метров жилой недвижимости. Структура ввода характеризуется стагнацией сегмента многоквартирных домов (44,6 миллиона квадратных метров, -2%) и одновременным бумом индивидуального жилищного строительства (63,5 миллиона квадратных метров, +2%, или 59% совокупного ввода).</w:t>
      </w:r>
    </w:p>
    <w:p>
      <w:r>
        <w:t>Сектор коммерческой и промышленной недвижимости в 2025–2026 годах стал главным потребителем высокотехнологичных систем пожарной автоматики. В 2025 году рынок складской недвижимости в России установил абсолютный исторический рекорд: было введено в эксплуатацию от 7,6 до 7,8 миллиона квадратных метров новых площадей, что в 1,7 раза превысило показатели 2024 года. Специфика современных логистических комплексов классов «А» и «А+» (высота потолков от 12 метров, многоярусные мезонины, высокая концентрация горючей упаковки) делает традиционные точечные пожарные извещатели неэффективными. Данная тенденция формирует биполярный спрос: жилой сектор требует миллионов недорогих автономных устройств, а промышленность и логистика — сверхнадёжных адресных платформ и комбинированных извещателей.</w:t>
      </w:r>
    </w:p>
    <w:p>
      <w:r>
        <w:t>Совокупность ужесточившихся норм ГОСТ Р 53325-2024 и архитектурных требований сводов правил привела к тому, что использование примитивных моносенсорных извещателей, реагирующих только на дым или только на повышение температуры, становится экономически и технически нецелесообразным на большинстве объектов. В 2026 году стандартом де-факто стали комбинированные мультикритериальные пожарные извещатели, объединяющие в одном корпусе несколько каналов обнаружения различных факторов пожара. Наиболее распространённой конфигурацией в коммерческой недвижимости является комбинация оптико-электронного дымового и максимально-дифференциального теплового сенсоров (дым + тепло). Интегрированный микропроцессор анализирует данные с обоих каналов одновременно: если оптическая камера фиксирует задымление, но температура окружающей среды при этом остаётся неизменной, алгоритм классифицирует событие как ложную тревогу, вызванную сквозняком, паром или аэрозолем. Если же задымление сопровождается характерным градиентом роста температуры, система мгновенно формирует сигнал «Пожар».</w:t>
      </w:r>
    </w:p>
    <w:p>
      <w:r>
        <w:t>Анализ целевой аудитории проектируемого предприятия показывает, что оптимальным сегментом для малосерийного производства являются монтажные и пусконаладочные организации, специализирующиеся на установке и обслуживании систем пожарной сигнализации на объектах среднего класса (магазины розничной торговли, бизнес-центры класса «B», общеобразовательные учреждения, объекты общественного питания, коттеджные посёлки). По оценкам аналитических агентств, в Российской Федерации действуют свыше 12 000 аккредитованных монтажных организаций с лицензией МЧС, из которых около 60% относятся к субъектам малого и среднего предпринимательства. Данные организации закупают комбинированные извещатели партиями от 50 до 500 штук под конкретные проектные задачи, проявляя высокую чувствительность к соотношению цены и технических характеристик оборудования.</w:t>
      </w:r>
    </w:p>
    <w:p>
      <w:r>
        <w:t>Конкурентный анализ позволяет выделить три основные группы производителей на рынке комбинированных пожарных извещателей. Первая группа представлена крупными национальными корпорациями (ЗАО «НВП «Болид», ГК «Рубеж», АО «Эридан»), осуществляющими полный производственный цикл на роботизированных линиях и ориентированными преимущественно на государственный заказ и крупные интеграционные проекты. Вторая группа — азиатские OEM-производители, чьё присутствие на российском рынке к 2026 году практически нивелировано запретом параллельного импорта и введением технологического сбора. Третья группа — малые и средние отечественные сборочные производства, применяющие гибридную модель (контрактный SMT-монтаж и собственная финишная сборка), к которой относится и проектируемое предприятие.</w:t>
      </w:r>
    </w:p>
    <w:p>
      <w:pPr>
        <w:pStyle w:val="TableCaption"/>
      </w:pPr>
      <w:r>
        <w:t>Таблица 2 – Сравнительный анализ основных групп производителей комбинированных пожарных извещателей на российском рынке</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pPr>
            <w:r>
              <w:rPr>
                <w:rFonts w:ascii="Liberation Serif" w:hAnsi="Liberation Serif"/>
                <w:sz w:val="24"/>
              </w:rPr>
              <w:t>Критерий</w:t>
            </w:r>
          </w:p>
        </w:tc>
        <w:tc>
          <w:tcPr>
            <w:tcW w:type="dxa" w:w="2422"/>
          </w:tcPr>
          <w:p>
            <w:pPr>
              <w:spacing w:line="240" w:lineRule="auto" w:before="0" w:after="0"/>
              <w:ind w:firstLine="0"/>
            </w:pPr>
            <w:r>
              <w:rPr>
                <w:rFonts w:ascii="Liberation Serif" w:hAnsi="Liberation Serif"/>
                <w:sz w:val="24"/>
              </w:rPr>
              <w:t>Крупные корпорации (Болид, Рубеж)</w:t>
            </w:r>
          </w:p>
        </w:tc>
        <w:tc>
          <w:tcPr>
            <w:tcW w:type="dxa" w:w="2422"/>
          </w:tcPr>
          <w:p>
            <w:pPr>
              <w:spacing w:line="240" w:lineRule="auto" w:before="0" w:after="0"/>
              <w:ind w:firstLine="0"/>
            </w:pPr>
            <w:r>
              <w:rPr>
                <w:rFonts w:ascii="Liberation Serif" w:hAnsi="Liberation Serif"/>
                <w:sz w:val="24"/>
              </w:rPr>
              <w:t>Азиатские OEM</w:t>
            </w:r>
          </w:p>
        </w:tc>
        <w:tc>
          <w:tcPr>
            <w:tcW w:type="dxa" w:w="2422"/>
          </w:tcPr>
          <w:p>
            <w:pPr>
              <w:spacing w:line="240" w:lineRule="auto" w:before="0" w:after="0"/>
              <w:ind w:firstLine="0"/>
            </w:pPr>
            <w:r>
              <w:rPr>
                <w:rFonts w:ascii="Liberation Serif" w:hAnsi="Liberation Serif"/>
                <w:sz w:val="24"/>
              </w:rPr>
              <w:t>ООО «СигналПром»</w:t>
            </w:r>
          </w:p>
        </w:tc>
      </w:tr>
      <w:tr>
        <w:tc>
          <w:tcPr>
            <w:tcW w:type="dxa" w:w="2422"/>
          </w:tcPr>
          <w:p>
            <w:pPr>
              <w:spacing w:line="240" w:lineRule="auto" w:before="0" w:after="0"/>
              <w:ind w:firstLine="0"/>
            </w:pPr>
            <w:r>
              <w:rPr>
                <w:rFonts w:ascii="Liberation Serif" w:hAnsi="Liberation Serif"/>
                <w:sz w:val="24"/>
              </w:rPr>
              <w:t>Целевой сегмент</w:t>
            </w:r>
          </w:p>
        </w:tc>
        <w:tc>
          <w:tcPr>
            <w:tcW w:type="dxa" w:w="2422"/>
          </w:tcPr>
          <w:p>
            <w:pPr>
              <w:spacing w:line="240" w:lineRule="auto" w:before="0" w:after="0"/>
              <w:ind w:firstLine="0"/>
            </w:pPr>
            <w:r>
              <w:rPr>
                <w:rFonts w:ascii="Liberation Serif" w:hAnsi="Liberation Serif"/>
                <w:sz w:val="24"/>
              </w:rPr>
              <w:t>Госзаказ, критическая инфраструктура, мега-проекты</w:t>
            </w:r>
          </w:p>
        </w:tc>
        <w:tc>
          <w:tcPr>
            <w:tcW w:type="dxa" w:w="2422"/>
          </w:tcPr>
          <w:p>
            <w:pPr>
              <w:spacing w:line="240" w:lineRule="auto" w:before="0" w:after="0"/>
              <w:ind w:firstLine="0"/>
            </w:pPr>
            <w:r>
              <w:rPr>
                <w:rFonts w:ascii="Liberation Serif" w:hAnsi="Liberation Serif"/>
                <w:sz w:val="24"/>
              </w:rPr>
              <w:t>Нерегулируемый сектор, серый рынок</w:t>
            </w:r>
          </w:p>
        </w:tc>
        <w:tc>
          <w:tcPr>
            <w:tcW w:type="dxa" w:w="2422"/>
          </w:tcPr>
          <w:p>
            <w:pPr>
              <w:spacing w:line="240" w:lineRule="auto" w:before="0" w:after="0"/>
              <w:ind w:firstLine="0"/>
            </w:pPr>
            <w:r>
              <w:rPr>
                <w:rFonts w:ascii="Liberation Serif" w:hAnsi="Liberation Serif"/>
                <w:sz w:val="24"/>
              </w:rPr>
              <w:t>B2B: монтажные организации, средний бизнес</w:t>
            </w:r>
          </w:p>
        </w:tc>
      </w:tr>
      <w:tr>
        <w:tc>
          <w:tcPr>
            <w:tcW w:type="dxa" w:w="2422"/>
          </w:tcPr>
          <w:p>
            <w:pPr>
              <w:spacing w:line="240" w:lineRule="auto" w:before="0" w:after="0"/>
              <w:ind w:firstLine="0"/>
            </w:pPr>
            <w:r>
              <w:rPr>
                <w:rFonts w:ascii="Liberation Serif" w:hAnsi="Liberation Serif"/>
                <w:sz w:val="24"/>
              </w:rPr>
              <w:t>Технологическая модель</w:t>
            </w:r>
          </w:p>
        </w:tc>
        <w:tc>
          <w:tcPr>
            <w:tcW w:type="dxa" w:w="2422"/>
          </w:tcPr>
          <w:p>
            <w:pPr>
              <w:spacing w:line="240" w:lineRule="auto" w:before="0" w:after="0"/>
              <w:ind w:firstLine="0"/>
            </w:pPr>
            <w:r>
              <w:rPr>
                <w:rFonts w:ascii="Liberation Serif" w:hAnsi="Liberation Serif"/>
                <w:sz w:val="24"/>
              </w:rPr>
              <w:t>Полный цикл, роботизированные SMT-линии</w:t>
            </w:r>
          </w:p>
        </w:tc>
        <w:tc>
          <w:tcPr>
            <w:tcW w:type="dxa" w:w="2422"/>
          </w:tcPr>
          <w:p>
            <w:pPr>
              <w:spacing w:line="240" w:lineRule="auto" w:before="0" w:after="0"/>
              <w:ind w:firstLine="0"/>
            </w:pPr>
            <w:r>
              <w:rPr>
                <w:rFonts w:ascii="Liberation Serif" w:hAnsi="Liberation Serif"/>
                <w:sz w:val="24"/>
              </w:rPr>
              <w:t>Импорт готовых изделий или SKD-сборка</w:t>
            </w:r>
          </w:p>
        </w:tc>
        <w:tc>
          <w:tcPr>
            <w:tcW w:type="dxa" w:w="2422"/>
          </w:tcPr>
          <w:p>
            <w:pPr>
              <w:spacing w:line="240" w:lineRule="auto" w:before="0" w:after="0"/>
              <w:ind w:firstLine="0"/>
            </w:pPr>
            <w:r>
              <w:rPr>
                <w:rFonts w:ascii="Liberation Serif" w:hAnsi="Liberation Serif"/>
                <w:sz w:val="24"/>
              </w:rPr>
              <w:t>Гибридная автоматизация: контрактный SMT + собственная сборка</w:t>
            </w:r>
          </w:p>
        </w:tc>
      </w:tr>
      <w:tr>
        <w:tc>
          <w:tcPr>
            <w:tcW w:type="dxa" w:w="2422"/>
          </w:tcPr>
          <w:p>
            <w:pPr>
              <w:spacing w:line="240" w:lineRule="auto" w:before="0" w:after="0"/>
              <w:ind w:firstLine="0"/>
            </w:pPr>
            <w:r>
              <w:rPr>
                <w:rFonts w:ascii="Liberation Serif" w:hAnsi="Liberation Serif"/>
                <w:sz w:val="24"/>
              </w:rPr>
              <w:t>CAPEX</w:t>
            </w:r>
          </w:p>
        </w:tc>
        <w:tc>
          <w:tcPr>
            <w:tcW w:type="dxa" w:w="2422"/>
          </w:tcPr>
          <w:p>
            <w:pPr>
              <w:spacing w:line="240" w:lineRule="auto" w:before="0" w:after="0"/>
              <w:ind w:firstLine="0"/>
            </w:pPr>
            <w:r>
              <w:rPr>
                <w:rFonts w:ascii="Liberation Serif" w:hAnsi="Liberation Serif"/>
                <w:sz w:val="24"/>
              </w:rPr>
              <w:t>Свыше 120 млн руб.</w:t>
            </w:r>
          </w:p>
        </w:tc>
        <w:tc>
          <w:tcPr>
            <w:tcW w:type="dxa" w:w="2422"/>
          </w:tcPr>
          <w:p>
            <w:pPr>
              <w:spacing w:line="240" w:lineRule="auto" w:before="0" w:after="0"/>
              <w:ind w:firstLine="0"/>
            </w:pPr>
            <w:r>
              <w:rPr>
                <w:rFonts w:ascii="Liberation Serif" w:hAnsi="Liberation Serif"/>
                <w:sz w:val="24"/>
              </w:rPr>
              <w:t>Минимальный (импортная логистика)</w:t>
            </w:r>
          </w:p>
        </w:tc>
        <w:tc>
          <w:tcPr>
            <w:tcW w:type="dxa" w:w="2422"/>
          </w:tcPr>
          <w:p>
            <w:pPr>
              <w:spacing w:line="240" w:lineRule="auto" w:before="0" w:after="0"/>
              <w:ind w:firstLine="0"/>
            </w:pPr>
            <w:r>
              <w:rPr>
                <w:rFonts w:ascii="Liberation Serif" w:hAnsi="Liberation Serif"/>
                <w:sz w:val="24"/>
              </w:rPr>
              <w:t>5–7 млн руб.</w:t>
            </w:r>
          </w:p>
        </w:tc>
      </w:tr>
      <w:tr>
        <w:tc>
          <w:tcPr>
            <w:tcW w:type="dxa" w:w="2422"/>
          </w:tcPr>
          <w:p>
            <w:pPr>
              <w:spacing w:line="240" w:lineRule="auto" w:before="0" w:after="0"/>
              <w:ind w:firstLine="0"/>
            </w:pPr>
            <w:r>
              <w:rPr>
                <w:rFonts w:ascii="Liberation Serif" w:hAnsi="Liberation Serif"/>
                <w:sz w:val="24"/>
              </w:rPr>
              <w:t>Контроль качества</w:t>
            </w:r>
          </w:p>
        </w:tc>
        <w:tc>
          <w:tcPr>
            <w:tcW w:type="dxa" w:w="2422"/>
          </w:tcPr>
          <w:p>
            <w:pPr>
              <w:spacing w:line="240" w:lineRule="auto" w:before="0" w:after="0"/>
              <w:ind w:firstLine="0"/>
            </w:pPr>
            <w:r>
              <w:rPr>
                <w:rFonts w:ascii="Liberation Serif" w:hAnsi="Liberation Serif"/>
                <w:sz w:val="24"/>
              </w:rPr>
              <w:t>Выборочный статистический (1–5%)</w:t>
            </w:r>
          </w:p>
        </w:tc>
        <w:tc>
          <w:tcPr>
            <w:tcW w:type="dxa" w:w="2422"/>
          </w:tcPr>
          <w:p>
            <w:pPr>
              <w:spacing w:line="240" w:lineRule="auto" w:before="0" w:after="0"/>
              <w:ind w:firstLine="0"/>
            </w:pPr>
            <w:r>
              <w:rPr>
                <w:rFonts w:ascii="Liberation Serif" w:hAnsi="Liberation Serif"/>
                <w:sz w:val="24"/>
              </w:rPr>
              <w:t>Не гарантирован, частые ложные срабатывания</w:t>
            </w:r>
          </w:p>
        </w:tc>
        <w:tc>
          <w:tcPr>
            <w:tcW w:type="dxa" w:w="2422"/>
          </w:tcPr>
          <w:p>
            <w:pPr>
              <w:spacing w:line="240" w:lineRule="auto" w:before="0" w:after="0"/>
              <w:ind w:firstLine="0"/>
            </w:pPr>
            <w:r>
              <w:rPr>
                <w:rFonts w:ascii="Liberation Serif" w:hAnsi="Liberation Serif"/>
                <w:sz w:val="24"/>
              </w:rPr>
              <w:t>100% автоматизированное тестирование каждой единицы</w:t>
            </w:r>
          </w:p>
        </w:tc>
      </w:tr>
      <w:tr>
        <w:tc>
          <w:tcPr>
            <w:tcW w:type="dxa" w:w="2422"/>
          </w:tcPr>
          <w:p>
            <w:pPr>
              <w:spacing w:line="240" w:lineRule="auto" w:before="0" w:after="0"/>
              <w:ind w:firstLine="0"/>
            </w:pPr>
            <w:r>
              <w:rPr>
                <w:rFonts w:ascii="Liberation Serif" w:hAnsi="Liberation Serif"/>
                <w:sz w:val="24"/>
              </w:rPr>
              <w:t>Гибкость производства</w:t>
            </w:r>
          </w:p>
        </w:tc>
        <w:tc>
          <w:tcPr>
            <w:tcW w:type="dxa" w:w="2422"/>
          </w:tcPr>
          <w:p>
            <w:pPr>
              <w:spacing w:line="240" w:lineRule="auto" w:before="0" w:after="0"/>
              <w:ind w:firstLine="0"/>
            </w:pPr>
            <w:r>
              <w:rPr>
                <w:rFonts w:ascii="Liberation Serif" w:hAnsi="Liberation Serif"/>
                <w:sz w:val="24"/>
              </w:rPr>
              <w:t>Низкая (жёсткая настройка линий)</w:t>
            </w:r>
          </w:p>
        </w:tc>
        <w:tc>
          <w:tcPr>
            <w:tcW w:type="dxa" w:w="2422"/>
          </w:tcPr>
          <w:p>
            <w:pPr>
              <w:spacing w:line="240" w:lineRule="auto" w:before="0" w:after="0"/>
              <w:ind w:firstLine="0"/>
            </w:pPr>
            <w:r>
              <w:rPr>
                <w:rFonts w:ascii="Liberation Serif" w:hAnsi="Liberation Serif"/>
                <w:sz w:val="24"/>
              </w:rPr>
              <w:t>Средняя</w:t>
            </w:r>
          </w:p>
        </w:tc>
        <w:tc>
          <w:tcPr>
            <w:tcW w:type="dxa" w:w="2422"/>
          </w:tcPr>
          <w:p>
            <w:pPr>
              <w:spacing w:line="240" w:lineRule="auto" w:before="0" w:after="0"/>
              <w:ind w:firstLine="0"/>
            </w:pPr>
            <w:r>
              <w:rPr>
                <w:rFonts w:ascii="Liberation Serif" w:hAnsi="Liberation Serif"/>
                <w:sz w:val="24"/>
              </w:rPr>
              <w:t>Высокая: оперативная смена микрокода под ТЗ заказчика</w:t>
            </w:r>
          </w:p>
        </w:tc>
      </w:tr>
      <w:tr>
        <w:tc>
          <w:tcPr>
            <w:tcW w:type="dxa" w:w="2422"/>
          </w:tcPr>
          <w:p>
            <w:pPr>
              <w:spacing w:line="240" w:lineRule="auto" w:before="0" w:after="0"/>
              <w:ind w:firstLine="0"/>
            </w:pPr>
            <w:r>
              <w:rPr>
                <w:rFonts w:ascii="Liberation Serif" w:hAnsi="Liberation Serif"/>
                <w:sz w:val="24"/>
              </w:rPr>
              <w:t>Влияние технологического сбора с 01.09.2026</w:t>
            </w:r>
          </w:p>
        </w:tc>
        <w:tc>
          <w:tcPr>
            <w:tcW w:type="dxa" w:w="2422"/>
          </w:tcPr>
          <w:p>
            <w:pPr>
              <w:spacing w:line="240" w:lineRule="auto" w:before="0" w:after="0"/>
              <w:ind w:firstLine="0"/>
            </w:pPr>
            <w:r>
              <w:rPr>
                <w:rFonts w:ascii="Liberation Serif" w:hAnsi="Liberation Serif"/>
                <w:sz w:val="24"/>
              </w:rPr>
              <w:t>Отсутствует</w:t>
            </w:r>
          </w:p>
        </w:tc>
        <w:tc>
          <w:tcPr>
            <w:tcW w:type="dxa" w:w="2422"/>
          </w:tcPr>
          <w:p>
            <w:pPr>
              <w:spacing w:line="240" w:lineRule="auto" w:before="0" w:after="0"/>
              <w:ind w:firstLine="0"/>
            </w:pPr>
            <w:r>
              <w:rPr>
                <w:rFonts w:ascii="Liberation Serif" w:hAnsi="Liberation Serif"/>
                <w:sz w:val="24"/>
              </w:rPr>
              <w:t>Критическое (удорожание 60–150%)</w:t>
            </w:r>
          </w:p>
        </w:tc>
        <w:tc>
          <w:tcPr>
            <w:tcW w:type="dxa" w:w="2422"/>
          </w:tcPr>
          <w:p>
            <w:pPr>
              <w:spacing w:line="240" w:lineRule="auto" w:before="0" w:after="0"/>
              <w:ind w:firstLine="0"/>
            </w:pPr>
            <w:r>
              <w:rPr>
                <w:rFonts w:ascii="Liberation Serif" w:hAnsi="Liberation Serif"/>
                <w:sz w:val="24"/>
              </w:rPr>
              <w:t>Отсутствует (импорт рассыпной ЭКБ не облагается)</w:t>
            </w:r>
          </w:p>
        </w:tc>
      </w:tr>
    </w:tbl>
    <w:p>
      <w:r>
        <w:t>Анализ ценообразования на рынке комбинированных пожарных извещателей проводился на основе мониторинга открытых коммерческих предложений специализированных торговых площадок и официальных прайс-листов производителей. Мониторинг показал, что розничные цены на адресные комбинированные дымо-тепловые извещатели среднего ценового сегмента варьируются в диапазоне 1 300–3 100 рублей за единицу. В частности, широко распространённая модель ИП 212/101-4-A1R «ПРОФИ-ОТ» (прямой функциональный аналог проектируемой продукции) реализуется по розничной цене 1 578 рублей; модель ИП 212/101-18-A3R1 класса A3R1 — по цене 3 104 рубля. На нижней границе сегмента представлены моносенсорные дымовые и тепловые извещатели стоимостью 162–900 рублей, которые не являются прямыми конкурентами комбинированных устройств.</w:t>
      </w:r>
    </w:p>
    <w:p>
      <w:pPr>
        <w:pStyle w:val="TableCaption"/>
      </w:pPr>
      <w:r>
        <w:t>Таблица 3 – Сравнительный анализ отпускных цен производителей пожарных извещателей по состоянию на май 2026 года</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pPr>
            <w:r>
              <w:rPr>
                <w:rFonts w:ascii="Liberation Serif" w:hAnsi="Liberation Serif"/>
                <w:sz w:val="24"/>
              </w:rPr>
              <w:t>Модель</w:t>
            </w:r>
          </w:p>
        </w:tc>
        <w:tc>
          <w:tcPr>
            <w:tcW w:type="dxa" w:w="2422"/>
          </w:tcPr>
          <w:p>
            <w:pPr>
              <w:spacing w:line="240" w:lineRule="auto" w:before="0" w:after="0"/>
              <w:ind w:firstLine="0"/>
            </w:pPr>
            <w:r>
              <w:rPr>
                <w:rFonts w:ascii="Liberation Serif" w:hAnsi="Liberation Serif"/>
                <w:sz w:val="24"/>
              </w:rPr>
              <w:t>Производитель</w:t>
            </w:r>
          </w:p>
        </w:tc>
        <w:tc>
          <w:tcPr>
            <w:tcW w:type="dxa" w:w="2422"/>
          </w:tcPr>
          <w:p>
            <w:pPr>
              <w:spacing w:line="240" w:lineRule="auto" w:before="0" w:after="0"/>
              <w:ind w:firstLine="0"/>
            </w:pPr>
            <w:r>
              <w:rPr>
                <w:rFonts w:ascii="Liberation Serif" w:hAnsi="Liberation Serif"/>
                <w:sz w:val="24"/>
              </w:rPr>
              <w:t>Тип</w:t>
            </w:r>
          </w:p>
        </w:tc>
        <w:tc>
          <w:tcPr>
            <w:tcW w:type="dxa" w:w="2422"/>
          </w:tcPr>
          <w:p>
            <w:pPr>
              <w:spacing w:line="240" w:lineRule="auto" w:before="0" w:after="0"/>
              <w:ind w:firstLine="0"/>
            </w:pPr>
            <w:r>
              <w:rPr>
                <w:rFonts w:ascii="Liberation Serif" w:hAnsi="Liberation Serif"/>
                <w:sz w:val="24"/>
              </w:rPr>
              <w:t>Розничная цена, руб.</w:t>
            </w:r>
          </w:p>
        </w:tc>
      </w:tr>
      <w:tr>
        <w:tc>
          <w:tcPr>
            <w:tcW w:type="dxa" w:w="2422"/>
          </w:tcPr>
          <w:p>
            <w:pPr>
              <w:spacing w:line="240" w:lineRule="auto" w:before="0" w:after="0"/>
              <w:ind w:firstLine="0"/>
            </w:pPr>
            <w:r>
              <w:rPr>
                <w:rFonts w:ascii="Liberation Serif" w:hAnsi="Liberation Serif"/>
                <w:sz w:val="24"/>
              </w:rPr>
              <w:t>ИП 103-5/4-А0</w:t>
            </w:r>
          </w:p>
        </w:tc>
        <w:tc>
          <w:tcPr>
            <w:tcW w:type="dxa" w:w="2422"/>
          </w:tcPr>
          <w:p>
            <w:pPr>
              <w:spacing w:line="240" w:lineRule="auto" w:before="0" w:after="0"/>
              <w:ind w:firstLine="0"/>
            </w:pPr>
            <w:r>
              <w:rPr>
                <w:rFonts w:ascii="Liberation Serif" w:hAnsi="Liberation Serif"/>
                <w:sz w:val="24"/>
              </w:rPr>
              <w:t>Система-Сервис</w:t>
            </w:r>
          </w:p>
        </w:tc>
        <w:tc>
          <w:tcPr>
            <w:tcW w:type="dxa" w:w="2422"/>
          </w:tcPr>
          <w:p>
            <w:pPr>
              <w:spacing w:line="240" w:lineRule="auto" w:before="0" w:after="0"/>
              <w:ind w:firstLine="0"/>
            </w:pPr>
            <w:r>
              <w:rPr>
                <w:rFonts w:ascii="Liberation Serif" w:hAnsi="Liberation Serif"/>
                <w:sz w:val="24"/>
              </w:rPr>
              <w:t>Тепловой максимальный</w:t>
            </w:r>
          </w:p>
        </w:tc>
        <w:tc>
          <w:tcPr>
            <w:tcW w:type="dxa" w:w="2422"/>
          </w:tcPr>
          <w:p>
            <w:pPr>
              <w:spacing w:line="240" w:lineRule="auto" w:before="0" w:after="0"/>
              <w:ind w:firstLine="0"/>
            </w:pPr>
            <w:r>
              <w:rPr>
                <w:rFonts w:ascii="Liberation Serif" w:hAnsi="Liberation Serif"/>
                <w:sz w:val="24"/>
              </w:rPr>
              <w:t>162</w:t>
            </w:r>
          </w:p>
        </w:tc>
      </w:tr>
      <w:tr>
        <w:tc>
          <w:tcPr>
            <w:tcW w:type="dxa" w:w="2422"/>
          </w:tcPr>
          <w:p>
            <w:pPr>
              <w:spacing w:line="240" w:lineRule="auto" w:before="0" w:after="0"/>
              <w:ind w:firstLine="0"/>
            </w:pPr>
            <w:r>
              <w:rPr>
                <w:rFonts w:ascii="Liberation Serif" w:hAnsi="Liberation Serif"/>
                <w:sz w:val="24"/>
              </w:rPr>
              <w:t>ДИП-34ПА</w:t>
            </w:r>
          </w:p>
        </w:tc>
        <w:tc>
          <w:tcPr>
            <w:tcW w:type="dxa" w:w="2422"/>
          </w:tcPr>
          <w:p>
            <w:pPr>
              <w:spacing w:line="240" w:lineRule="auto" w:before="0" w:after="0"/>
              <w:ind w:firstLine="0"/>
            </w:pPr>
            <w:r>
              <w:rPr>
                <w:rFonts w:ascii="Liberation Serif" w:hAnsi="Liberation Serif"/>
                <w:sz w:val="24"/>
              </w:rPr>
              <w:t>Болид</w:t>
            </w:r>
          </w:p>
        </w:tc>
        <w:tc>
          <w:tcPr>
            <w:tcW w:type="dxa" w:w="2422"/>
          </w:tcPr>
          <w:p>
            <w:pPr>
              <w:spacing w:line="240" w:lineRule="auto" w:before="0" w:after="0"/>
              <w:ind w:firstLine="0"/>
            </w:pPr>
            <w:r>
              <w:rPr>
                <w:rFonts w:ascii="Liberation Serif" w:hAnsi="Liberation Serif"/>
                <w:sz w:val="24"/>
              </w:rPr>
              <w:t>Адресный дымовой</w:t>
            </w:r>
          </w:p>
        </w:tc>
        <w:tc>
          <w:tcPr>
            <w:tcW w:type="dxa" w:w="2422"/>
          </w:tcPr>
          <w:p>
            <w:pPr>
              <w:spacing w:line="240" w:lineRule="auto" w:before="0" w:after="0"/>
              <w:ind w:firstLine="0"/>
            </w:pPr>
            <w:r>
              <w:rPr>
                <w:rFonts w:ascii="Liberation Serif" w:hAnsi="Liberation Serif"/>
                <w:sz w:val="24"/>
              </w:rPr>
              <w:t>800</w:t>
            </w:r>
          </w:p>
        </w:tc>
      </w:tr>
      <w:tr>
        <w:tc>
          <w:tcPr>
            <w:tcW w:type="dxa" w:w="2422"/>
          </w:tcPr>
          <w:p>
            <w:pPr>
              <w:spacing w:line="240" w:lineRule="auto" w:before="0" w:after="0"/>
              <w:ind w:firstLine="0"/>
            </w:pPr>
            <w:r>
              <w:rPr>
                <w:rFonts w:ascii="Liberation Serif" w:hAnsi="Liberation Serif"/>
                <w:sz w:val="24"/>
              </w:rPr>
              <w:t>ИП 212/101-4-A1R «ПРОФИ-ОТ»</w:t>
            </w:r>
          </w:p>
        </w:tc>
        <w:tc>
          <w:tcPr>
            <w:tcW w:type="dxa" w:w="2422"/>
          </w:tcPr>
          <w:p>
            <w:pPr>
              <w:spacing w:line="240" w:lineRule="auto" w:before="0" w:after="0"/>
              <w:ind w:firstLine="0"/>
            </w:pPr>
            <w:r>
              <w:rPr>
                <w:rFonts w:ascii="Liberation Serif" w:hAnsi="Liberation Serif"/>
                <w:sz w:val="24"/>
              </w:rPr>
              <w:t>Артон</w:t>
            </w:r>
          </w:p>
        </w:tc>
        <w:tc>
          <w:tcPr>
            <w:tcW w:type="dxa" w:w="2422"/>
          </w:tcPr>
          <w:p>
            <w:pPr>
              <w:spacing w:line="240" w:lineRule="auto" w:before="0" w:after="0"/>
              <w:ind w:firstLine="0"/>
            </w:pPr>
            <w:r>
              <w:rPr>
                <w:rFonts w:ascii="Liberation Serif" w:hAnsi="Liberation Serif"/>
                <w:sz w:val="24"/>
              </w:rPr>
              <w:t>Комбинированный дым+тепло, класс A1R</w:t>
            </w:r>
          </w:p>
        </w:tc>
        <w:tc>
          <w:tcPr>
            <w:tcW w:type="dxa" w:w="2422"/>
          </w:tcPr>
          <w:p>
            <w:pPr>
              <w:spacing w:line="240" w:lineRule="auto" w:before="0" w:after="0"/>
              <w:ind w:firstLine="0"/>
            </w:pPr>
            <w:r>
              <w:rPr>
                <w:rFonts w:ascii="Liberation Serif" w:hAnsi="Liberation Serif"/>
                <w:sz w:val="24"/>
              </w:rPr>
              <w:t>1 578</w:t>
            </w:r>
          </w:p>
        </w:tc>
      </w:tr>
      <w:tr>
        <w:tc>
          <w:tcPr>
            <w:tcW w:type="dxa" w:w="2422"/>
          </w:tcPr>
          <w:p>
            <w:pPr>
              <w:spacing w:line="240" w:lineRule="auto" w:before="0" w:after="0"/>
              <w:ind w:firstLine="0"/>
            </w:pPr>
            <w:r>
              <w:rPr>
                <w:rFonts w:ascii="Liberation Serif" w:hAnsi="Liberation Serif"/>
                <w:sz w:val="24"/>
              </w:rPr>
              <w:t>ИП 212/101-18-A3R1</w:t>
            </w:r>
          </w:p>
        </w:tc>
        <w:tc>
          <w:tcPr>
            <w:tcW w:type="dxa" w:w="2422"/>
          </w:tcPr>
          <w:p>
            <w:pPr>
              <w:spacing w:line="240" w:lineRule="auto" w:before="0" w:after="0"/>
              <w:ind w:firstLine="0"/>
            </w:pPr>
            <w:r>
              <w:rPr>
                <w:rFonts w:ascii="Liberation Serif" w:hAnsi="Liberation Serif"/>
                <w:sz w:val="24"/>
              </w:rPr>
              <w:t>Артон</w:t>
            </w:r>
          </w:p>
        </w:tc>
        <w:tc>
          <w:tcPr>
            <w:tcW w:type="dxa" w:w="2422"/>
          </w:tcPr>
          <w:p>
            <w:pPr>
              <w:spacing w:line="240" w:lineRule="auto" w:before="0" w:after="0"/>
              <w:ind w:firstLine="0"/>
            </w:pPr>
            <w:r>
              <w:rPr>
                <w:rFonts w:ascii="Liberation Serif" w:hAnsi="Liberation Serif"/>
                <w:sz w:val="24"/>
              </w:rPr>
              <w:t>Комбинированный дым+тепло, класс A3R1</w:t>
            </w:r>
          </w:p>
        </w:tc>
        <w:tc>
          <w:tcPr>
            <w:tcW w:type="dxa" w:w="2422"/>
          </w:tcPr>
          <w:p>
            <w:pPr>
              <w:spacing w:line="240" w:lineRule="auto" w:before="0" w:after="0"/>
              <w:ind w:firstLine="0"/>
            </w:pPr>
            <w:r>
              <w:rPr>
                <w:rFonts w:ascii="Liberation Serif" w:hAnsi="Liberation Serif"/>
                <w:sz w:val="24"/>
              </w:rPr>
              <w:t>3 104</w:t>
            </w:r>
          </w:p>
        </w:tc>
      </w:tr>
      <w:tr>
        <w:tc>
          <w:tcPr>
            <w:tcW w:type="dxa" w:w="2422"/>
          </w:tcPr>
          <w:p>
            <w:pPr>
              <w:spacing w:line="240" w:lineRule="auto" w:before="0" w:after="0"/>
              <w:ind w:firstLine="0"/>
            </w:pPr>
            <w:r>
              <w:rPr>
                <w:rFonts w:ascii="Liberation Serif" w:hAnsi="Liberation Serif"/>
                <w:sz w:val="24"/>
              </w:rPr>
              <w:t>ИП 101 «Гранат»</w:t>
            </w:r>
          </w:p>
        </w:tc>
        <w:tc>
          <w:tcPr>
            <w:tcW w:type="dxa" w:w="2422"/>
          </w:tcPr>
          <w:p>
            <w:pPr>
              <w:spacing w:line="240" w:lineRule="auto" w:before="0" w:after="0"/>
              <w:ind w:firstLine="0"/>
            </w:pPr>
            <w:r>
              <w:rPr>
                <w:rFonts w:ascii="Liberation Serif" w:hAnsi="Liberation Serif"/>
                <w:sz w:val="24"/>
              </w:rPr>
              <w:t>Ирсэт-Центр</w:t>
            </w:r>
          </w:p>
        </w:tc>
        <w:tc>
          <w:tcPr>
            <w:tcW w:type="dxa" w:w="2422"/>
          </w:tcPr>
          <w:p>
            <w:pPr>
              <w:spacing w:line="240" w:lineRule="auto" w:before="0" w:after="0"/>
              <w:ind w:firstLine="0"/>
            </w:pPr>
            <w:r>
              <w:rPr>
                <w:rFonts w:ascii="Liberation Serif" w:hAnsi="Liberation Serif"/>
                <w:sz w:val="24"/>
              </w:rPr>
              <w:t>Тепловой максимальный IP67</w:t>
            </w:r>
          </w:p>
        </w:tc>
        <w:tc>
          <w:tcPr>
            <w:tcW w:type="dxa" w:w="2422"/>
          </w:tcPr>
          <w:p>
            <w:pPr>
              <w:spacing w:line="240" w:lineRule="auto" w:before="0" w:after="0"/>
              <w:ind w:firstLine="0"/>
            </w:pPr>
            <w:r>
              <w:rPr>
                <w:rFonts w:ascii="Liberation Serif" w:hAnsi="Liberation Serif"/>
                <w:sz w:val="24"/>
              </w:rPr>
              <w:t>5 369</w:t>
            </w:r>
          </w:p>
        </w:tc>
      </w:tr>
    </w:tbl>
    <w:p>
      <w:r>
        <w:t>Отпускная цена проектируемой продукции для монтажных организаций (оптовый B2B-канал) установлена на уровне 1 200 рублей за комбинированный извещатель и 250 рублей за монтажную базу с интегрированным изолятором короткого замыкания. Данный уровень цен обоснован следующими факторами: позиционированием предприятия в среднем ценовом сегменте с акцентом на качество; необходимостью обеспечения конкурентного преимущества перед ближайшим прямым аналогом «ПРОФИ-ОТ» (розничная цена 1 578 рублей); обеспечением достаточной маржинальности для покрытия затрат на 100% автоматизированный выходной контроль и расходов на обязательную сертификацию продукции.</w:t>
      </w:r>
    </w:p>
    <w:p>
      <w:pPr>
        <w:pStyle w:val="TableCaption"/>
      </w:pPr>
      <w:r>
        <w:t>Таблица 4 – План сбыта продукции предприятия по видам продукции и прогноз годовой выручки на проектной мощности</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tcPr>
          <w:p>
            <w:pPr>
              <w:spacing w:line="240" w:lineRule="auto" w:before="0" w:after="0"/>
              <w:ind w:firstLine="0"/>
              <w:jc w:val="center"/>
            </w:pPr>
            <w:r>
              <w:rPr>
                <w:rFonts w:ascii="Liberation Serif" w:hAnsi="Liberation Serif"/>
                <w:sz w:val="24"/>
              </w:rPr>
              <w:t>Наименование продукции</w:t>
            </w:r>
          </w:p>
        </w:tc>
        <w:tc>
          <w:tcPr>
            <w:tcW w:type="dxa" w:w="1938"/>
          </w:tcPr>
          <w:p>
            <w:pPr>
              <w:spacing w:line="240" w:lineRule="auto" w:before="0" w:after="0"/>
              <w:ind w:firstLine="0"/>
              <w:jc w:val="center"/>
            </w:pPr>
            <w:r>
              <w:rPr>
                <w:rFonts w:ascii="Liberation Serif" w:hAnsi="Liberation Serif"/>
                <w:sz w:val="24"/>
              </w:rPr>
              <w:t>Отпускная цена, руб.</w:t>
            </w:r>
          </w:p>
        </w:tc>
        <w:tc>
          <w:tcPr>
            <w:tcW w:type="dxa" w:w="1938"/>
          </w:tcPr>
          <w:p>
            <w:pPr>
              <w:spacing w:line="240" w:lineRule="auto" w:before="0" w:after="0"/>
              <w:ind w:firstLine="0"/>
              <w:jc w:val="center"/>
            </w:pPr>
            <w:r>
              <w:rPr>
                <w:rFonts w:ascii="Liberation Serif" w:hAnsi="Liberation Serif"/>
                <w:sz w:val="24"/>
              </w:rPr>
              <w:t>Объём, шт./мес.</w:t>
            </w:r>
          </w:p>
        </w:tc>
        <w:tc>
          <w:tcPr>
            <w:tcW w:type="dxa" w:w="1938"/>
          </w:tcPr>
          <w:p>
            <w:pPr>
              <w:spacing w:line="240" w:lineRule="auto" w:before="0" w:after="0"/>
              <w:ind w:firstLine="0"/>
              <w:jc w:val="center"/>
            </w:pPr>
            <w:r>
              <w:rPr>
                <w:rFonts w:ascii="Liberation Serif" w:hAnsi="Liberation Serif"/>
                <w:sz w:val="24"/>
              </w:rPr>
              <w:t>Выручка, руб./мес.</w:t>
            </w:r>
          </w:p>
        </w:tc>
        <w:tc>
          <w:tcPr>
            <w:tcW w:type="dxa" w:w="1938"/>
          </w:tcPr>
          <w:p>
            <w:pPr>
              <w:spacing w:line="240" w:lineRule="auto" w:before="0" w:after="0"/>
              <w:ind w:firstLine="0"/>
              <w:jc w:val="center"/>
            </w:pPr>
            <w:r>
              <w:rPr>
                <w:rFonts w:ascii="Liberation Serif" w:hAnsi="Liberation Serif"/>
                <w:sz w:val="24"/>
              </w:rPr>
              <w:t>Выручка в год, руб.</w:t>
            </w:r>
          </w:p>
        </w:tc>
      </w:tr>
      <w:tr>
        <w:tc>
          <w:tcPr>
            <w:tcW w:type="dxa" w:w="1938"/>
          </w:tcPr>
          <w:p>
            <w:pPr>
              <w:spacing w:line="240" w:lineRule="auto" w:before="0" w:after="0"/>
              <w:ind w:firstLine="0"/>
              <w:jc w:val="center"/>
            </w:pPr>
            <w:r>
              <w:rPr>
                <w:rFonts w:ascii="Liberation Serif" w:hAnsi="Liberation Serif"/>
                <w:sz w:val="24"/>
              </w:rPr>
              <w:t>Извещатель комбинированный дымо-тепловой</w:t>
            </w:r>
          </w:p>
        </w:tc>
        <w:tc>
          <w:tcPr>
            <w:tcW w:type="dxa" w:w="1938"/>
          </w:tcPr>
          <w:p>
            <w:pPr>
              <w:spacing w:line="240" w:lineRule="auto" w:before="0" w:after="0"/>
              <w:ind w:firstLine="0"/>
              <w:jc w:val="center"/>
            </w:pPr>
            <w:r>
              <w:rPr>
                <w:rFonts w:ascii="Liberation Serif" w:hAnsi="Liberation Serif"/>
                <w:sz w:val="24"/>
              </w:rPr>
              <w:t>1 200</w:t>
            </w:r>
          </w:p>
        </w:tc>
        <w:tc>
          <w:tcPr>
            <w:tcW w:type="dxa" w:w="1938"/>
          </w:tcPr>
          <w:p>
            <w:pPr>
              <w:spacing w:line="240" w:lineRule="auto" w:before="0" w:after="0"/>
              <w:ind w:firstLine="0"/>
              <w:jc w:val="center"/>
            </w:pPr>
            <w:r>
              <w:rPr>
                <w:rFonts w:ascii="Liberation Serif" w:hAnsi="Liberation Serif"/>
                <w:sz w:val="24"/>
              </w:rPr>
              <w:t>700</w:t>
            </w:r>
          </w:p>
        </w:tc>
        <w:tc>
          <w:tcPr>
            <w:tcW w:type="dxa" w:w="1938"/>
          </w:tcPr>
          <w:p>
            <w:pPr>
              <w:spacing w:line="240" w:lineRule="auto" w:before="0" w:after="0"/>
              <w:ind w:firstLine="0"/>
              <w:jc w:val="center"/>
            </w:pPr>
            <w:r>
              <w:rPr>
                <w:rFonts w:ascii="Liberation Serif" w:hAnsi="Liberation Serif"/>
                <w:sz w:val="24"/>
              </w:rPr>
              <w:t>840 000</w:t>
            </w:r>
          </w:p>
        </w:tc>
        <w:tc>
          <w:tcPr>
            <w:tcW w:type="dxa" w:w="1938"/>
          </w:tcPr>
          <w:p>
            <w:pPr>
              <w:spacing w:line="240" w:lineRule="auto" w:before="0" w:after="0"/>
              <w:ind w:firstLine="0"/>
              <w:jc w:val="center"/>
            </w:pPr>
            <w:r>
              <w:rPr>
                <w:rFonts w:ascii="Liberation Serif" w:hAnsi="Liberation Serif"/>
                <w:sz w:val="24"/>
              </w:rPr>
              <w:t>10 080 000</w:t>
            </w:r>
          </w:p>
        </w:tc>
      </w:tr>
      <w:tr>
        <w:tc>
          <w:tcPr>
            <w:tcW w:type="dxa" w:w="1938"/>
          </w:tcPr>
          <w:p>
            <w:pPr>
              <w:spacing w:line="240" w:lineRule="auto" w:before="0" w:after="0"/>
              <w:ind w:firstLine="0"/>
              <w:jc w:val="center"/>
            </w:pPr>
            <w:r>
              <w:rPr>
                <w:rFonts w:ascii="Liberation Serif" w:hAnsi="Liberation Serif"/>
                <w:sz w:val="24"/>
              </w:rPr>
              <w:t>Монтажная база с изолятором КЗ</w:t>
            </w:r>
          </w:p>
        </w:tc>
        <w:tc>
          <w:tcPr>
            <w:tcW w:type="dxa" w:w="1938"/>
          </w:tcPr>
          <w:p>
            <w:pPr>
              <w:spacing w:line="240" w:lineRule="auto" w:before="0" w:after="0"/>
              <w:ind w:firstLine="0"/>
              <w:jc w:val="center"/>
            </w:pPr>
            <w:r>
              <w:rPr>
                <w:rFonts w:ascii="Liberation Serif" w:hAnsi="Liberation Serif"/>
                <w:sz w:val="24"/>
              </w:rPr>
              <w:t>250</w:t>
            </w:r>
          </w:p>
        </w:tc>
        <w:tc>
          <w:tcPr>
            <w:tcW w:type="dxa" w:w="1938"/>
          </w:tcPr>
          <w:p>
            <w:pPr>
              <w:spacing w:line="240" w:lineRule="auto" w:before="0" w:after="0"/>
              <w:ind w:firstLine="0"/>
              <w:jc w:val="center"/>
            </w:pPr>
            <w:r>
              <w:rPr>
                <w:rFonts w:ascii="Liberation Serif" w:hAnsi="Liberation Serif"/>
                <w:sz w:val="24"/>
              </w:rPr>
              <w:t>700</w:t>
            </w:r>
          </w:p>
        </w:tc>
        <w:tc>
          <w:tcPr>
            <w:tcW w:type="dxa" w:w="1938"/>
          </w:tcPr>
          <w:p>
            <w:pPr>
              <w:spacing w:line="240" w:lineRule="auto" w:before="0" w:after="0"/>
              <w:ind w:firstLine="0"/>
              <w:jc w:val="center"/>
            </w:pPr>
            <w:r>
              <w:rPr>
                <w:rFonts w:ascii="Liberation Serif" w:hAnsi="Liberation Serif"/>
                <w:sz w:val="24"/>
              </w:rPr>
              <w:t>175 000</w:t>
            </w:r>
          </w:p>
        </w:tc>
        <w:tc>
          <w:tcPr>
            <w:tcW w:type="dxa" w:w="1938"/>
          </w:tcPr>
          <w:p>
            <w:pPr>
              <w:spacing w:line="240" w:lineRule="auto" w:before="0" w:after="0"/>
              <w:ind w:firstLine="0"/>
              <w:jc w:val="center"/>
            </w:pPr>
            <w:r>
              <w:rPr>
                <w:rFonts w:ascii="Liberation Serif" w:hAnsi="Liberation Serif"/>
                <w:sz w:val="24"/>
              </w:rPr>
              <w:t>2 100 000</w:t>
            </w:r>
          </w:p>
        </w:tc>
      </w:tr>
      <w:tr>
        <w:tc>
          <w:tcPr>
            <w:tcW w:type="dxa" w:w="1938"/>
          </w:tcPr>
          <w:p>
            <w:pPr>
              <w:spacing w:line="240" w:lineRule="auto" w:before="0" w:after="0"/>
              <w:ind w:firstLine="0"/>
              <w:jc w:val="center"/>
            </w:pPr>
            <w:r>
              <w:rPr>
                <w:rFonts w:ascii="Liberation Serif" w:hAnsi="Liberation Serif"/>
                <w:sz w:val="24"/>
              </w:rPr>
              <w:t>Услуги пусконаладки, шефмонтажа</w:t>
            </w:r>
          </w:p>
        </w:tc>
        <w:tc>
          <w:tcPr>
            <w:tcW w:type="dxa" w:w="1938"/>
          </w:tcPr>
          <w:p>
            <w:pPr>
              <w:spacing w:line="240" w:lineRule="auto" w:before="0" w:after="0"/>
              <w:ind w:firstLine="0"/>
              <w:jc w:val="center"/>
            </w:pPr>
            <w:r>
              <w:rPr>
                <w:rFonts w:ascii="Liberation Serif" w:hAnsi="Liberation Serif"/>
                <w:sz w:val="24"/>
              </w:rPr>
              <w:t>5 000 / объект</w:t>
            </w:r>
          </w:p>
        </w:tc>
        <w:tc>
          <w:tcPr>
            <w:tcW w:type="dxa" w:w="1938"/>
          </w:tcPr>
          <w:p>
            <w:pPr>
              <w:spacing w:line="240" w:lineRule="auto" w:before="0" w:after="0"/>
              <w:ind w:firstLine="0"/>
              <w:jc w:val="center"/>
            </w:pPr>
            <w:r>
              <w:rPr>
                <w:rFonts w:ascii="Liberation Serif" w:hAnsi="Liberation Serif"/>
                <w:sz w:val="24"/>
              </w:rPr>
              <w:t>10</w:t>
            </w:r>
          </w:p>
        </w:tc>
        <w:tc>
          <w:tcPr>
            <w:tcW w:type="dxa" w:w="1938"/>
          </w:tcPr>
          <w:p>
            <w:pPr>
              <w:spacing w:line="240" w:lineRule="auto" w:before="0" w:after="0"/>
              <w:ind w:firstLine="0"/>
              <w:jc w:val="center"/>
            </w:pPr>
            <w:r>
              <w:rPr>
                <w:rFonts w:ascii="Liberation Serif" w:hAnsi="Liberation Serif"/>
                <w:sz w:val="24"/>
              </w:rPr>
              <w:t>50 000</w:t>
            </w:r>
          </w:p>
        </w:tc>
        <w:tc>
          <w:tcPr>
            <w:tcW w:type="dxa" w:w="1938"/>
          </w:tcPr>
          <w:p>
            <w:pPr>
              <w:spacing w:line="240" w:lineRule="auto" w:before="0" w:after="0"/>
              <w:ind w:firstLine="0"/>
              <w:jc w:val="center"/>
            </w:pPr>
            <w:r>
              <w:rPr>
                <w:rFonts w:ascii="Liberation Serif" w:hAnsi="Liberation Serif"/>
                <w:sz w:val="24"/>
              </w:rPr>
              <w:t>600 000</w:t>
            </w:r>
          </w:p>
        </w:tc>
      </w:tr>
      <w:tr>
        <w:tc>
          <w:tcPr>
            <w:tcW w:type="dxa" w:w="1938"/>
          </w:tcPr>
          <w:p>
            <w:pPr>
              <w:spacing w:line="240" w:lineRule="auto" w:before="0" w:after="0"/>
              <w:ind w:firstLine="0"/>
              <w:jc w:val="center"/>
            </w:pPr>
            <w:r>
              <w:rPr>
                <w:rFonts w:ascii="Liberation Serif" w:hAnsi="Liberation Serif"/>
                <w:sz w:val="24"/>
              </w:rPr>
              <w:t>ИТОГО</w:t>
            </w:r>
          </w:p>
        </w:tc>
        <w:tc>
          <w:tcPr>
            <w:tcW w:type="dxa" w:w="1938"/>
          </w:tcPr>
          <w:p>
            <w:pPr>
              <w:spacing w:line="240" w:lineRule="auto" w:before="0" w:after="0"/>
              <w:ind w:firstLine="0"/>
              <w:jc w:val="center"/>
            </w:pPr>
            <w:r>
              <w:rPr>
                <w:rFonts w:ascii="Liberation Serif" w:hAnsi="Liberation Serif"/>
                <w:sz w:val="24"/>
              </w:rPr>
              <w:t>–</w:t>
            </w:r>
          </w:p>
        </w:tc>
        <w:tc>
          <w:tcPr>
            <w:tcW w:type="dxa" w:w="1938"/>
          </w:tcPr>
          <w:p>
            <w:pPr>
              <w:spacing w:line="240" w:lineRule="auto" w:before="0" w:after="0"/>
              <w:ind w:firstLine="0"/>
              <w:jc w:val="center"/>
            </w:pPr>
            <w:r>
              <w:rPr>
                <w:rFonts w:ascii="Liberation Serif" w:hAnsi="Liberation Serif"/>
                <w:sz w:val="24"/>
              </w:rPr>
              <w:t>–</w:t>
            </w:r>
          </w:p>
        </w:tc>
        <w:tc>
          <w:tcPr>
            <w:tcW w:type="dxa" w:w="1938"/>
          </w:tcPr>
          <w:p>
            <w:pPr>
              <w:spacing w:line="240" w:lineRule="auto" w:before="0" w:after="0"/>
              <w:ind w:firstLine="0"/>
              <w:jc w:val="center"/>
            </w:pPr>
            <w:r>
              <w:rPr>
                <w:rFonts w:ascii="Liberation Serif" w:hAnsi="Liberation Serif"/>
                <w:sz w:val="24"/>
              </w:rPr>
              <w:t>1 065 000</w:t>
            </w:r>
          </w:p>
        </w:tc>
        <w:tc>
          <w:tcPr>
            <w:tcW w:type="dxa" w:w="1938"/>
          </w:tcPr>
          <w:p>
            <w:pPr>
              <w:spacing w:line="240" w:lineRule="auto" w:before="0" w:after="0"/>
              <w:ind w:firstLine="0"/>
              <w:jc w:val="center"/>
            </w:pPr>
            <w:r>
              <w:rPr>
                <w:rFonts w:ascii="Liberation Serif" w:hAnsi="Liberation Serif"/>
                <w:sz w:val="24"/>
              </w:rPr>
              <w:t>12 780 000</w:t>
            </w:r>
          </w:p>
        </w:tc>
      </w:tr>
    </w:tbl>
    <w:p>
      <w:r>
        <w:t>Прогноз годовой выручки на проектной мощности составляет 12,78 миллиона рублей, что находится ниже порогового значения 20 миллионов рублей, установленного для применения упрощённой системы налогообложения без обязанности уплаты налога на добавленную стоимость в переходный период 2026 года. Данное обстоятельство является принципиально важным преимуществом выбранного масштаба предприятия: его операционная деятельность попадает под льготный специальный налоговый режим, что снижает административную нагрузку и обеспечивает дополнительную рентабельность по сравнению с предприятиями, превышающими указанный порог.</w:t>
      </w:r>
    </w:p>
    <w:p>
      <w:r>
        <w:t>Выход на проектную мощность 700 изделий в месяц предполагается осуществлять поэтапно в течение первых двенадцати месяцев операционной деятельности предприятия. Поэтапное освоение мощности обусловлено необходимостью формирования клиентской базы, отработки технологических процессов и сертификационных процедур, что соответствует реальной практике организации малосерийных производств радиоэлектронной продукции.</w:t>
      </w:r>
    </w:p>
    <w:p>
      <w:pPr>
        <w:pStyle w:val="TableCaption"/>
      </w:pPr>
      <w:r>
        <w:t>Таблица 5 – Поэтапный план освоения проектной мощности в первый год операционной деятельности</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jc w:val="center"/>
            </w:pPr>
            <w:r>
              <w:rPr>
                <w:rFonts w:ascii="Liberation Serif" w:hAnsi="Liberation Serif"/>
                <w:sz w:val="24"/>
              </w:rPr>
              <w:t>Месяц</w:t>
            </w:r>
          </w:p>
        </w:tc>
        <w:tc>
          <w:tcPr>
            <w:tcW w:type="dxa" w:w="2422"/>
          </w:tcPr>
          <w:p>
            <w:pPr>
              <w:spacing w:line="240" w:lineRule="auto" w:before="0" w:after="0"/>
              <w:ind w:firstLine="0"/>
              <w:jc w:val="center"/>
            </w:pPr>
            <w:r>
              <w:rPr>
                <w:rFonts w:ascii="Liberation Serif" w:hAnsi="Liberation Serif"/>
                <w:sz w:val="24"/>
              </w:rPr>
              <w:t>Загрузка, %</w:t>
            </w:r>
          </w:p>
        </w:tc>
        <w:tc>
          <w:tcPr>
            <w:tcW w:type="dxa" w:w="2422"/>
          </w:tcPr>
          <w:p>
            <w:pPr>
              <w:spacing w:line="240" w:lineRule="auto" w:before="0" w:after="0"/>
              <w:ind w:firstLine="0"/>
              <w:jc w:val="center"/>
            </w:pPr>
            <w:r>
              <w:rPr>
                <w:rFonts w:ascii="Liberation Serif" w:hAnsi="Liberation Serif"/>
                <w:sz w:val="24"/>
              </w:rPr>
              <w:t>Объём выпуска, шт./мес.</w:t>
            </w:r>
          </w:p>
        </w:tc>
        <w:tc>
          <w:tcPr>
            <w:tcW w:type="dxa" w:w="2422"/>
          </w:tcPr>
          <w:p>
            <w:pPr>
              <w:spacing w:line="240" w:lineRule="auto" w:before="0" w:after="0"/>
              <w:ind w:firstLine="0"/>
              <w:jc w:val="center"/>
            </w:pPr>
            <w:r>
              <w:rPr>
                <w:rFonts w:ascii="Liberation Serif" w:hAnsi="Liberation Serif"/>
                <w:sz w:val="24"/>
              </w:rPr>
              <w:t>Выручка, руб./мес.</w:t>
            </w:r>
          </w:p>
        </w:tc>
      </w:tr>
      <w:tr>
        <w:tc>
          <w:tcPr>
            <w:tcW w:type="dxa" w:w="2422"/>
          </w:tcPr>
          <w:p>
            <w:pPr>
              <w:spacing w:line="240" w:lineRule="auto" w:before="0" w:after="0"/>
              <w:ind w:firstLine="0"/>
              <w:jc w:val="center"/>
            </w:pPr>
            <w:r>
              <w:rPr>
                <w:rFonts w:ascii="Liberation Serif" w:hAnsi="Liberation Serif"/>
                <w:sz w:val="24"/>
              </w:rPr>
              <w:t>1–2</w:t>
            </w:r>
          </w:p>
        </w:tc>
        <w:tc>
          <w:tcPr>
            <w:tcW w:type="dxa" w:w="2422"/>
          </w:tcPr>
          <w:p>
            <w:pPr>
              <w:spacing w:line="240" w:lineRule="auto" w:before="0" w:after="0"/>
              <w:ind w:firstLine="0"/>
              <w:jc w:val="center"/>
            </w:pPr>
            <w:r>
              <w:rPr>
                <w:rFonts w:ascii="Liberation Serif" w:hAnsi="Liberation Serif"/>
                <w:sz w:val="24"/>
              </w:rPr>
              <w:t>50</w:t>
            </w:r>
          </w:p>
        </w:tc>
        <w:tc>
          <w:tcPr>
            <w:tcW w:type="dxa" w:w="2422"/>
          </w:tcPr>
          <w:p>
            <w:pPr>
              <w:spacing w:line="240" w:lineRule="auto" w:before="0" w:after="0"/>
              <w:ind w:firstLine="0"/>
              <w:jc w:val="center"/>
            </w:pPr>
            <w:r>
              <w:rPr>
                <w:rFonts w:ascii="Liberation Serif" w:hAnsi="Liberation Serif"/>
                <w:sz w:val="24"/>
              </w:rPr>
              <w:t>350</w:t>
            </w:r>
          </w:p>
        </w:tc>
        <w:tc>
          <w:tcPr>
            <w:tcW w:type="dxa" w:w="2422"/>
          </w:tcPr>
          <w:p>
            <w:pPr>
              <w:spacing w:line="240" w:lineRule="auto" w:before="0" w:after="0"/>
              <w:ind w:firstLine="0"/>
              <w:jc w:val="center"/>
            </w:pPr>
            <w:r>
              <w:rPr>
                <w:rFonts w:ascii="Liberation Serif" w:hAnsi="Liberation Serif"/>
                <w:sz w:val="24"/>
              </w:rPr>
              <w:t>532 500</w:t>
            </w:r>
          </w:p>
        </w:tc>
      </w:tr>
      <w:tr>
        <w:tc>
          <w:tcPr>
            <w:tcW w:type="dxa" w:w="2422"/>
          </w:tcPr>
          <w:p>
            <w:pPr>
              <w:spacing w:line="240" w:lineRule="auto" w:before="0" w:after="0"/>
              <w:ind w:firstLine="0"/>
              <w:jc w:val="center"/>
            </w:pPr>
            <w:r>
              <w:rPr>
                <w:rFonts w:ascii="Liberation Serif" w:hAnsi="Liberation Serif"/>
                <w:sz w:val="24"/>
              </w:rPr>
              <w:t>3–4</w:t>
            </w:r>
          </w:p>
        </w:tc>
        <w:tc>
          <w:tcPr>
            <w:tcW w:type="dxa" w:w="2422"/>
          </w:tcPr>
          <w:p>
            <w:pPr>
              <w:spacing w:line="240" w:lineRule="auto" w:before="0" w:after="0"/>
              <w:ind w:firstLine="0"/>
              <w:jc w:val="center"/>
            </w:pPr>
            <w:r>
              <w:rPr>
                <w:rFonts w:ascii="Liberation Serif" w:hAnsi="Liberation Serif"/>
                <w:sz w:val="24"/>
              </w:rPr>
              <w:t>60</w:t>
            </w:r>
          </w:p>
        </w:tc>
        <w:tc>
          <w:tcPr>
            <w:tcW w:type="dxa" w:w="2422"/>
          </w:tcPr>
          <w:p>
            <w:pPr>
              <w:spacing w:line="240" w:lineRule="auto" w:before="0" w:after="0"/>
              <w:ind w:firstLine="0"/>
              <w:jc w:val="center"/>
            </w:pPr>
            <w:r>
              <w:rPr>
                <w:rFonts w:ascii="Liberation Serif" w:hAnsi="Liberation Serif"/>
                <w:sz w:val="24"/>
              </w:rPr>
              <w:t>420</w:t>
            </w:r>
          </w:p>
        </w:tc>
        <w:tc>
          <w:tcPr>
            <w:tcW w:type="dxa" w:w="2422"/>
          </w:tcPr>
          <w:p>
            <w:pPr>
              <w:spacing w:line="240" w:lineRule="auto" w:before="0" w:after="0"/>
              <w:ind w:firstLine="0"/>
              <w:jc w:val="center"/>
            </w:pPr>
            <w:r>
              <w:rPr>
                <w:rFonts w:ascii="Liberation Serif" w:hAnsi="Liberation Serif"/>
                <w:sz w:val="24"/>
              </w:rPr>
              <w:t>639 000</w:t>
            </w:r>
          </w:p>
        </w:tc>
      </w:tr>
      <w:tr>
        <w:tc>
          <w:tcPr>
            <w:tcW w:type="dxa" w:w="2422"/>
          </w:tcPr>
          <w:p>
            <w:pPr>
              <w:spacing w:line="240" w:lineRule="auto" w:before="0" w:after="0"/>
              <w:ind w:firstLine="0"/>
              <w:jc w:val="center"/>
            </w:pPr>
            <w:r>
              <w:rPr>
                <w:rFonts w:ascii="Liberation Serif" w:hAnsi="Liberation Serif"/>
                <w:sz w:val="24"/>
              </w:rPr>
              <w:t>5–6</w:t>
            </w:r>
          </w:p>
        </w:tc>
        <w:tc>
          <w:tcPr>
            <w:tcW w:type="dxa" w:w="2422"/>
          </w:tcPr>
          <w:p>
            <w:pPr>
              <w:spacing w:line="240" w:lineRule="auto" w:before="0" w:after="0"/>
              <w:ind w:firstLine="0"/>
              <w:jc w:val="center"/>
            </w:pPr>
            <w:r>
              <w:rPr>
                <w:rFonts w:ascii="Liberation Serif" w:hAnsi="Liberation Serif"/>
                <w:sz w:val="24"/>
              </w:rPr>
              <w:t>70</w:t>
            </w:r>
          </w:p>
        </w:tc>
        <w:tc>
          <w:tcPr>
            <w:tcW w:type="dxa" w:w="2422"/>
          </w:tcPr>
          <w:p>
            <w:pPr>
              <w:spacing w:line="240" w:lineRule="auto" w:before="0" w:after="0"/>
              <w:ind w:firstLine="0"/>
              <w:jc w:val="center"/>
            </w:pPr>
            <w:r>
              <w:rPr>
                <w:rFonts w:ascii="Liberation Serif" w:hAnsi="Liberation Serif"/>
                <w:sz w:val="24"/>
              </w:rPr>
              <w:t>490</w:t>
            </w:r>
          </w:p>
        </w:tc>
        <w:tc>
          <w:tcPr>
            <w:tcW w:type="dxa" w:w="2422"/>
          </w:tcPr>
          <w:p>
            <w:pPr>
              <w:spacing w:line="240" w:lineRule="auto" w:before="0" w:after="0"/>
              <w:ind w:firstLine="0"/>
              <w:jc w:val="center"/>
            </w:pPr>
            <w:r>
              <w:rPr>
                <w:rFonts w:ascii="Liberation Serif" w:hAnsi="Liberation Serif"/>
                <w:sz w:val="24"/>
              </w:rPr>
              <w:t>745 500</w:t>
            </w:r>
          </w:p>
        </w:tc>
      </w:tr>
      <w:tr>
        <w:tc>
          <w:tcPr>
            <w:tcW w:type="dxa" w:w="2422"/>
          </w:tcPr>
          <w:p>
            <w:pPr>
              <w:spacing w:line="240" w:lineRule="auto" w:before="0" w:after="0"/>
              <w:ind w:firstLine="0"/>
              <w:jc w:val="center"/>
            </w:pPr>
            <w:r>
              <w:rPr>
                <w:rFonts w:ascii="Liberation Serif" w:hAnsi="Liberation Serif"/>
                <w:sz w:val="24"/>
              </w:rPr>
              <w:t>7–8</w:t>
            </w:r>
          </w:p>
        </w:tc>
        <w:tc>
          <w:tcPr>
            <w:tcW w:type="dxa" w:w="2422"/>
          </w:tcPr>
          <w:p>
            <w:pPr>
              <w:spacing w:line="240" w:lineRule="auto" w:before="0" w:after="0"/>
              <w:ind w:firstLine="0"/>
              <w:jc w:val="center"/>
            </w:pPr>
            <w:r>
              <w:rPr>
                <w:rFonts w:ascii="Liberation Serif" w:hAnsi="Liberation Serif"/>
                <w:sz w:val="24"/>
              </w:rPr>
              <w:t>80</w:t>
            </w:r>
          </w:p>
        </w:tc>
        <w:tc>
          <w:tcPr>
            <w:tcW w:type="dxa" w:w="2422"/>
          </w:tcPr>
          <w:p>
            <w:pPr>
              <w:spacing w:line="240" w:lineRule="auto" w:before="0" w:after="0"/>
              <w:ind w:firstLine="0"/>
              <w:jc w:val="center"/>
            </w:pPr>
            <w:r>
              <w:rPr>
                <w:rFonts w:ascii="Liberation Serif" w:hAnsi="Liberation Serif"/>
                <w:sz w:val="24"/>
              </w:rPr>
              <w:t>560</w:t>
            </w:r>
          </w:p>
        </w:tc>
        <w:tc>
          <w:tcPr>
            <w:tcW w:type="dxa" w:w="2422"/>
          </w:tcPr>
          <w:p>
            <w:pPr>
              <w:spacing w:line="240" w:lineRule="auto" w:before="0" w:after="0"/>
              <w:ind w:firstLine="0"/>
              <w:jc w:val="center"/>
            </w:pPr>
            <w:r>
              <w:rPr>
                <w:rFonts w:ascii="Liberation Serif" w:hAnsi="Liberation Serif"/>
                <w:sz w:val="24"/>
              </w:rPr>
              <w:t>852 000</w:t>
            </w:r>
          </w:p>
        </w:tc>
      </w:tr>
      <w:tr>
        <w:tc>
          <w:tcPr>
            <w:tcW w:type="dxa" w:w="2422"/>
          </w:tcPr>
          <w:p>
            <w:pPr>
              <w:spacing w:line="240" w:lineRule="auto" w:before="0" w:after="0"/>
              <w:ind w:firstLine="0"/>
              <w:jc w:val="center"/>
            </w:pPr>
            <w:r>
              <w:rPr>
                <w:rFonts w:ascii="Liberation Serif" w:hAnsi="Liberation Serif"/>
                <w:sz w:val="24"/>
              </w:rPr>
              <w:t>9–10</w:t>
            </w:r>
          </w:p>
        </w:tc>
        <w:tc>
          <w:tcPr>
            <w:tcW w:type="dxa" w:w="2422"/>
          </w:tcPr>
          <w:p>
            <w:pPr>
              <w:spacing w:line="240" w:lineRule="auto" w:before="0" w:after="0"/>
              <w:ind w:firstLine="0"/>
              <w:jc w:val="center"/>
            </w:pPr>
            <w:r>
              <w:rPr>
                <w:rFonts w:ascii="Liberation Serif" w:hAnsi="Liberation Serif"/>
                <w:sz w:val="24"/>
              </w:rPr>
              <w:t>90</w:t>
            </w:r>
          </w:p>
        </w:tc>
        <w:tc>
          <w:tcPr>
            <w:tcW w:type="dxa" w:w="2422"/>
          </w:tcPr>
          <w:p>
            <w:pPr>
              <w:spacing w:line="240" w:lineRule="auto" w:before="0" w:after="0"/>
              <w:ind w:firstLine="0"/>
              <w:jc w:val="center"/>
            </w:pPr>
            <w:r>
              <w:rPr>
                <w:rFonts w:ascii="Liberation Serif" w:hAnsi="Liberation Serif"/>
                <w:sz w:val="24"/>
              </w:rPr>
              <w:t>630</w:t>
            </w:r>
          </w:p>
        </w:tc>
        <w:tc>
          <w:tcPr>
            <w:tcW w:type="dxa" w:w="2422"/>
          </w:tcPr>
          <w:p>
            <w:pPr>
              <w:spacing w:line="240" w:lineRule="auto" w:before="0" w:after="0"/>
              <w:ind w:firstLine="0"/>
              <w:jc w:val="center"/>
            </w:pPr>
            <w:r>
              <w:rPr>
                <w:rFonts w:ascii="Liberation Serif" w:hAnsi="Liberation Serif"/>
                <w:sz w:val="24"/>
              </w:rPr>
              <w:t>958 500</w:t>
            </w:r>
          </w:p>
        </w:tc>
      </w:tr>
      <w:tr>
        <w:tc>
          <w:tcPr>
            <w:tcW w:type="dxa" w:w="2422"/>
          </w:tcPr>
          <w:p>
            <w:pPr>
              <w:spacing w:line="240" w:lineRule="auto" w:before="0" w:after="0"/>
              <w:ind w:firstLine="0"/>
              <w:jc w:val="center"/>
            </w:pPr>
            <w:r>
              <w:rPr>
                <w:rFonts w:ascii="Liberation Serif" w:hAnsi="Liberation Serif"/>
                <w:sz w:val="24"/>
              </w:rPr>
              <w:t>11–12</w:t>
            </w:r>
          </w:p>
        </w:tc>
        <w:tc>
          <w:tcPr>
            <w:tcW w:type="dxa" w:w="2422"/>
          </w:tcPr>
          <w:p>
            <w:pPr>
              <w:spacing w:line="240" w:lineRule="auto" w:before="0" w:after="0"/>
              <w:ind w:firstLine="0"/>
              <w:jc w:val="center"/>
            </w:pPr>
            <w:r>
              <w:rPr>
                <w:rFonts w:ascii="Liberation Serif" w:hAnsi="Liberation Serif"/>
                <w:sz w:val="24"/>
              </w:rPr>
              <w:t>100</w:t>
            </w:r>
          </w:p>
        </w:tc>
        <w:tc>
          <w:tcPr>
            <w:tcW w:type="dxa" w:w="2422"/>
          </w:tcPr>
          <w:p>
            <w:pPr>
              <w:spacing w:line="240" w:lineRule="auto" w:before="0" w:after="0"/>
              <w:ind w:firstLine="0"/>
              <w:jc w:val="center"/>
            </w:pPr>
            <w:r>
              <w:rPr>
                <w:rFonts w:ascii="Liberation Serif" w:hAnsi="Liberation Serif"/>
                <w:sz w:val="24"/>
              </w:rPr>
              <w:t>700</w:t>
            </w:r>
          </w:p>
        </w:tc>
        <w:tc>
          <w:tcPr>
            <w:tcW w:type="dxa" w:w="2422"/>
          </w:tcPr>
          <w:p>
            <w:pPr>
              <w:spacing w:line="240" w:lineRule="auto" w:before="0" w:after="0"/>
              <w:ind w:firstLine="0"/>
              <w:jc w:val="center"/>
            </w:pPr>
            <w:r>
              <w:rPr>
                <w:rFonts w:ascii="Liberation Serif" w:hAnsi="Liberation Serif"/>
                <w:sz w:val="24"/>
              </w:rPr>
              <w:t>1 065 000</w:t>
            </w:r>
          </w:p>
        </w:tc>
      </w:tr>
    </w:tbl>
    <w:p>
      <w:r>
        <w:t>Итогом проведённого анализа рынка является вывод о высокой инвестиционной привлекательности создания малого производственного предприятия по выпуску комбинированных пожарных извещателей в рассматриваемых рыночных условиях. Сочетание растущего объёма рынка (54 миллиарда рублей в 2025 году с ежегодным приростом 7–10%), благоприятной нормативной среды, запрета параллельного импорта и введения технологического сбора формирует условия для устойчивого спроса на продукцию отечественных производителей. Выбранная стратегия фокусирования на сегменте малосерийного производства для монтажных организаций позволяет избежать прямой конкуренции с крупнейшими игроками рынка и использовать технологическое преимущество 100% автоматизированного выходного контроля качества в качестве основного уникального торгового предложения.</w:t>
      </w:r>
    </w:p>
    <w:p>
      <w:pPr>
        <w:pStyle w:val="Heading2"/>
      </w:pPr>
      <w:r>
        <w:t>1.3 Выбор инструмента анализа деятельности предприятия</w:t>
      </w:r>
    </w:p>
    <w:p>
      <w:r>
        <w:t>Выполнение корректных финансовых расчётов инвестиционного проекта, включающих прогноз денежных потоков на трёхлетний горизонт планирования, учёт налоговых обязательств, амортизации активов, инфляционных ожиданий и валютных рисков, является технически сложной задачей, требующей применения специализированного программного обеспечения. Ручное ведение расчётов или использование табличных процессоров общего назначения сопряжено с высокими рисками арифметических ошибок, нарушения целостности взаимосвязей между отчётами и затруднением сценарного анализа. Современная практика бизнес-планирования предусматривает использование одной из трёх основных категорий инструментов: универсальных табличных процессоров, средств финансового моделирования на базе шаблонов и специализированных пакетов инвестиционного проектирования.</w:t>
      </w:r>
    </w:p>
    <w:p>
      <w:r>
        <w:t>Универсальные табличные процессоры (Microsoft Excel, LibreOffice Calc, «МойОфис Таблица») предоставляют гибкий инструментарий для построения произвольных финансовых моделей. Их основными преимуществами являются широкая доступность, низкая стоимость лицензии, возможность полного контроля над логикой расчётов и простота обмена файлами. Однако для задач инвестиционного проектирования табличные процессоры имеют существенные недостатки. Во-первых, построение корректной финансовой модели предприятия требует от разработчика самостоятельной реализации алгоритмов расчёта налоговых баз, амортизации, дисконтирования и интегральных показателей эффективности. Во-вторых, сложные модели с сотнями перекрёстных ссылок подвержены скрытым ошибкам формул, выявление которых представляет отдельную задачу аудита модели. В-третьих, в табличных процессорах отсутствуют встроенные средства построения отчёта о движении денежных средств (Cash Flow), отчёта о прибылях и убытках (Profit &amp; Loss) и бухгалтерского баланса как взаимоувязанных форм. В-четвёртых, сценарное моделирование в табличных процессорах реализуется вручную через копирование листов или применение элементов управления, что неудобно при большом числе параметров.</w:t>
      </w:r>
    </w:p>
    <w:p>
      <w:r>
        <w:t>Аналитическая система Alt-Invest представляет собой специализированный программный комплекс, разработанный российской компанией «Альт-Инвест» и ориентированный на профессиональных финансовых аналитиков. Программа реализована в форме расширенной электронной таблицы на платформе Microsoft Excel с подключаемыми макросами и шаблонами. Alt-Invest обеспечивает корректный расчёт интегральных показателей эффективности, формирование трёх основных финансовых отчётов, а также содержит встроенные модули оценки рисков и анализа чувствительности. Вместе с тем применение Alt-Invest для проектов масштаба малого предприятия ограничено избыточностью функционала, изначально предназначенного для крупных корпоративных проектов, и зависимостью от среды Microsoft Excel, сохраняющей все недостатки табличного подхода (риск случайного изменения формул, отсутствие встроенного визуального интерфейса ввода данных).</w:t>
      </w:r>
    </w:p>
    <w:p>
      <w:r>
        <w:t>Специализированные пакеты инвестиционного проектирования, к которым относится отечественная система Project Expert компании «Эксперт Системс», представляют собой комплексные программные продукты, реализующие полный цикл построения финансовой модели предприятия «с нуля». Project Expert является признанным отраслевым стандартом разработки бизнес-планов на территории Российской Федерации и стран Содружества Независимых Государств. Программа рекомендована к использованию государственными структурами при оценке инвестиционных проектов и широко применяется в таких отраслях, как банковское дело, телекоммуникации, строительство, нефтегазовая, транспортная, химическая и перерабатывающая промышленность, лёгкая промышленность, машиностроение, космическая отрасль и энергетика.</w:t>
      </w:r>
    </w:p>
    <w:p>
      <w:r>
        <w:t>Архитектура Project Expert основана на принципе динамической имитационной модели движения денежных потоков. Ввод исходных данных осуществляется через тематические модули, структурированные по стандарту UNIDO — международно признанной методике подготовки бизнес-планов. На основе введённых данных математический движок программы выполняет сквозную имитационную симуляцию хозяйственной деятельности предприятия с заданным шагом расчёта (день, месяц, квартал или год), автоматически формируя три основных финансовых отчёта — отчёт о прибылях и убытках, отчёт о движении денежных средств и бухгалтерский баланс — а также рассчитывая интегральные показатели эффективности проекта. Принципиальным преимуществом специализированного пакета является гарантированная математическая корректность расчётов и невозможность случайного искажения формул пользователем, что критически важно при предоставлении финансовой модели инвесторам и кредитным организациям.</w:t>
      </w:r>
    </w:p>
    <w:p>
      <w:pPr>
        <w:pStyle w:val="TableCaption"/>
      </w:pPr>
      <w:r>
        <w:t>Таблица 6 – Сравнительный анализ программных инструментов инвестиционного моделирования</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spacing w:line="240" w:lineRule="auto" w:before="0" w:after="0"/>
              <w:ind w:firstLine="0"/>
            </w:pPr>
            <w:r>
              <w:rPr>
                <w:rFonts w:ascii="Liberation Serif" w:hAnsi="Liberation Serif"/>
                <w:sz w:val="24"/>
              </w:rPr>
              <w:t>Критерий</w:t>
            </w:r>
          </w:p>
        </w:tc>
        <w:tc>
          <w:tcPr>
            <w:tcW w:type="dxa" w:w="2422"/>
          </w:tcPr>
          <w:p>
            <w:pPr>
              <w:spacing w:line="240" w:lineRule="auto" w:before="0" w:after="0"/>
              <w:ind w:firstLine="0"/>
            </w:pPr>
            <w:r>
              <w:rPr>
                <w:rFonts w:ascii="Liberation Serif" w:hAnsi="Liberation Serif"/>
                <w:sz w:val="24"/>
              </w:rPr>
              <w:t>Microsoft Excel</w:t>
            </w:r>
          </w:p>
        </w:tc>
        <w:tc>
          <w:tcPr>
            <w:tcW w:type="dxa" w:w="2422"/>
          </w:tcPr>
          <w:p>
            <w:pPr>
              <w:spacing w:line="240" w:lineRule="auto" w:before="0" w:after="0"/>
              <w:ind w:firstLine="0"/>
            </w:pPr>
            <w:r>
              <w:rPr>
                <w:rFonts w:ascii="Liberation Serif" w:hAnsi="Liberation Serif"/>
                <w:sz w:val="24"/>
              </w:rPr>
              <w:t>Alt-Invest</w:t>
            </w:r>
          </w:p>
        </w:tc>
        <w:tc>
          <w:tcPr>
            <w:tcW w:type="dxa" w:w="2422"/>
          </w:tcPr>
          <w:p>
            <w:pPr>
              <w:spacing w:line="240" w:lineRule="auto" w:before="0" w:after="0"/>
              <w:ind w:firstLine="0"/>
            </w:pPr>
            <w:r>
              <w:rPr>
                <w:rFonts w:ascii="Liberation Serif" w:hAnsi="Liberation Serif"/>
                <w:sz w:val="24"/>
              </w:rPr>
              <w:t>Project Expert</w:t>
            </w:r>
          </w:p>
        </w:tc>
      </w:tr>
      <w:tr>
        <w:tc>
          <w:tcPr>
            <w:tcW w:type="dxa" w:w="2422"/>
          </w:tcPr>
          <w:p>
            <w:pPr>
              <w:spacing w:line="240" w:lineRule="auto" w:before="0" w:after="0"/>
              <w:ind w:firstLine="0"/>
            </w:pPr>
            <w:r>
              <w:rPr>
                <w:rFonts w:ascii="Liberation Serif" w:hAnsi="Liberation Serif"/>
                <w:sz w:val="24"/>
              </w:rPr>
              <w:t>Специализация</w:t>
            </w:r>
          </w:p>
        </w:tc>
        <w:tc>
          <w:tcPr>
            <w:tcW w:type="dxa" w:w="2422"/>
          </w:tcPr>
          <w:p>
            <w:pPr>
              <w:spacing w:line="240" w:lineRule="auto" w:before="0" w:after="0"/>
              <w:ind w:firstLine="0"/>
            </w:pPr>
            <w:r>
              <w:rPr>
                <w:rFonts w:ascii="Liberation Serif" w:hAnsi="Liberation Serif"/>
                <w:sz w:val="24"/>
              </w:rPr>
              <w:t>Универсальный инструмент</w:t>
            </w:r>
          </w:p>
        </w:tc>
        <w:tc>
          <w:tcPr>
            <w:tcW w:type="dxa" w:w="2422"/>
          </w:tcPr>
          <w:p>
            <w:pPr>
              <w:spacing w:line="240" w:lineRule="auto" w:before="0" w:after="0"/>
              <w:ind w:firstLine="0"/>
            </w:pPr>
            <w:r>
              <w:rPr>
                <w:rFonts w:ascii="Liberation Serif" w:hAnsi="Liberation Serif"/>
                <w:sz w:val="24"/>
              </w:rPr>
              <w:t>Финансовый анализ</w:t>
            </w:r>
          </w:p>
        </w:tc>
        <w:tc>
          <w:tcPr>
            <w:tcW w:type="dxa" w:w="2422"/>
          </w:tcPr>
          <w:p>
            <w:pPr>
              <w:spacing w:line="240" w:lineRule="auto" w:before="0" w:after="0"/>
              <w:ind w:firstLine="0"/>
            </w:pPr>
            <w:r>
              <w:rPr>
                <w:rFonts w:ascii="Liberation Serif" w:hAnsi="Liberation Serif"/>
                <w:sz w:val="24"/>
              </w:rPr>
              <w:t>Инвестиционное проектирование</w:t>
            </w:r>
          </w:p>
        </w:tc>
      </w:tr>
      <w:tr>
        <w:tc>
          <w:tcPr>
            <w:tcW w:type="dxa" w:w="2422"/>
          </w:tcPr>
          <w:p>
            <w:pPr>
              <w:spacing w:line="240" w:lineRule="auto" w:before="0" w:after="0"/>
              <w:ind w:firstLine="0"/>
            </w:pPr>
            <w:r>
              <w:rPr>
                <w:rFonts w:ascii="Liberation Serif" w:hAnsi="Liberation Serif"/>
                <w:sz w:val="24"/>
              </w:rPr>
              <w:t>Автоматическое построение P&amp;L, Cash Flow, баланса</w:t>
            </w:r>
          </w:p>
        </w:tc>
        <w:tc>
          <w:tcPr>
            <w:tcW w:type="dxa" w:w="2422"/>
          </w:tcPr>
          <w:p>
            <w:pPr>
              <w:spacing w:line="240" w:lineRule="auto" w:before="0" w:after="0"/>
              <w:ind w:firstLine="0"/>
            </w:pPr>
            <w:r>
              <w:rPr>
                <w:rFonts w:ascii="Liberation Serif" w:hAnsi="Liberation Serif"/>
                <w:sz w:val="24"/>
              </w:rPr>
              <w:t>Нет, требует ручной настройки</w:t>
            </w:r>
          </w:p>
        </w:tc>
        <w:tc>
          <w:tcPr>
            <w:tcW w:type="dxa" w:w="2422"/>
          </w:tcPr>
          <w:p>
            <w:pPr>
              <w:spacing w:line="240" w:lineRule="auto" w:before="0" w:after="0"/>
              <w:ind w:firstLine="0"/>
            </w:pPr>
            <w:r>
              <w:rPr>
                <w:rFonts w:ascii="Liberation Serif" w:hAnsi="Liberation Serif"/>
                <w:sz w:val="24"/>
              </w:rPr>
              <w:t>Частично</w:t>
            </w:r>
          </w:p>
        </w:tc>
        <w:tc>
          <w:tcPr>
            <w:tcW w:type="dxa" w:w="2422"/>
          </w:tcPr>
          <w:p>
            <w:pPr>
              <w:spacing w:line="240" w:lineRule="auto" w:before="0" w:after="0"/>
              <w:ind w:firstLine="0"/>
            </w:pPr>
            <w:r>
              <w:rPr>
                <w:rFonts w:ascii="Liberation Serif" w:hAnsi="Liberation Serif"/>
                <w:sz w:val="24"/>
              </w:rPr>
              <w:t>Да, автоматически</w:t>
            </w:r>
          </w:p>
        </w:tc>
      </w:tr>
      <w:tr>
        <w:tc>
          <w:tcPr>
            <w:tcW w:type="dxa" w:w="2422"/>
          </w:tcPr>
          <w:p>
            <w:pPr>
              <w:spacing w:line="240" w:lineRule="auto" w:before="0" w:after="0"/>
              <w:ind w:firstLine="0"/>
            </w:pPr>
            <w:r>
              <w:rPr>
                <w:rFonts w:ascii="Liberation Serif" w:hAnsi="Liberation Serif"/>
                <w:sz w:val="24"/>
              </w:rPr>
              <w:t>Расчёт NPV, IRR, PI, DPP</w:t>
            </w:r>
          </w:p>
        </w:tc>
        <w:tc>
          <w:tcPr>
            <w:tcW w:type="dxa" w:w="2422"/>
          </w:tcPr>
          <w:p>
            <w:pPr>
              <w:spacing w:line="240" w:lineRule="auto" w:before="0" w:after="0"/>
              <w:ind w:firstLine="0"/>
            </w:pPr>
            <w:r>
              <w:rPr>
                <w:rFonts w:ascii="Liberation Serif" w:hAnsi="Liberation Serif"/>
                <w:sz w:val="24"/>
              </w:rPr>
              <w:t>Встроенные функции, требует знания формул</w:t>
            </w:r>
          </w:p>
        </w:tc>
        <w:tc>
          <w:tcPr>
            <w:tcW w:type="dxa" w:w="2422"/>
          </w:tcPr>
          <w:p>
            <w:pPr>
              <w:spacing w:line="240" w:lineRule="auto" w:before="0" w:after="0"/>
              <w:ind w:firstLine="0"/>
            </w:pPr>
            <w:r>
              <w:rPr>
                <w:rFonts w:ascii="Liberation Serif" w:hAnsi="Liberation Serif"/>
                <w:sz w:val="24"/>
              </w:rPr>
              <w:t>Встроенные модули</w:t>
            </w:r>
          </w:p>
        </w:tc>
        <w:tc>
          <w:tcPr>
            <w:tcW w:type="dxa" w:w="2422"/>
          </w:tcPr>
          <w:p>
            <w:pPr>
              <w:spacing w:line="240" w:lineRule="auto" w:before="0" w:after="0"/>
              <w:ind w:firstLine="0"/>
            </w:pPr>
            <w:r>
              <w:rPr>
                <w:rFonts w:ascii="Liberation Serif" w:hAnsi="Liberation Serif"/>
                <w:sz w:val="24"/>
              </w:rPr>
              <w:t>Автоматический расчёт</w:t>
            </w:r>
          </w:p>
        </w:tc>
      </w:tr>
      <w:tr>
        <w:tc>
          <w:tcPr>
            <w:tcW w:type="dxa" w:w="2422"/>
          </w:tcPr>
          <w:p>
            <w:pPr>
              <w:spacing w:line="240" w:lineRule="auto" w:before="0" w:after="0"/>
              <w:ind w:firstLine="0"/>
            </w:pPr>
            <w:r>
              <w:rPr>
                <w:rFonts w:ascii="Liberation Serif" w:hAnsi="Liberation Serif"/>
                <w:sz w:val="24"/>
              </w:rPr>
              <w:t>Сценарный анализ и анализ чувствительности</w:t>
            </w:r>
          </w:p>
        </w:tc>
        <w:tc>
          <w:tcPr>
            <w:tcW w:type="dxa" w:w="2422"/>
          </w:tcPr>
          <w:p>
            <w:pPr>
              <w:spacing w:line="240" w:lineRule="auto" w:before="0" w:after="0"/>
              <w:ind w:firstLine="0"/>
            </w:pPr>
            <w:r>
              <w:rPr>
                <w:rFonts w:ascii="Liberation Serif" w:hAnsi="Liberation Serif"/>
                <w:sz w:val="24"/>
              </w:rPr>
              <w:t>Вручную через копирование листов</w:t>
            </w:r>
          </w:p>
        </w:tc>
        <w:tc>
          <w:tcPr>
            <w:tcW w:type="dxa" w:w="2422"/>
          </w:tcPr>
          <w:p>
            <w:pPr>
              <w:spacing w:line="240" w:lineRule="auto" w:before="0" w:after="0"/>
              <w:ind w:firstLine="0"/>
            </w:pPr>
            <w:r>
              <w:rPr>
                <w:rFonts w:ascii="Liberation Serif" w:hAnsi="Liberation Serif"/>
                <w:sz w:val="24"/>
              </w:rPr>
              <w:t>Ограниченный модуль</w:t>
            </w:r>
          </w:p>
        </w:tc>
        <w:tc>
          <w:tcPr>
            <w:tcW w:type="dxa" w:w="2422"/>
          </w:tcPr>
          <w:p>
            <w:pPr>
              <w:spacing w:line="240" w:lineRule="auto" w:before="0" w:after="0"/>
              <w:ind w:firstLine="0"/>
            </w:pPr>
            <w:r>
              <w:rPr>
                <w:rFonts w:ascii="Liberation Serif" w:hAnsi="Liberation Serif"/>
                <w:sz w:val="24"/>
              </w:rPr>
              <w:t>Встроенный модуль «What-if»</w:t>
            </w:r>
          </w:p>
        </w:tc>
      </w:tr>
      <w:tr>
        <w:tc>
          <w:tcPr>
            <w:tcW w:type="dxa" w:w="2422"/>
          </w:tcPr>
          <w:p>
            <w:pPr>
              <w:spacing w:line="240" w:lineRule="auto" w:before="0" w:after="0"/>
              <w:ind w:firstLine="0"/>
            </w:pPr>
            <w:r>
              <w:rPr>
                <w:rFonts w:ascii="Liberation Serif" w:hAnsi="Liberation Serif"/>
                <w:sz w:val="24"/>
              </w:rPr>
              <w:t>Риск арифметической ошибки</w:t>
            </w:r>
          </w:p>
        </w:tc>
        <w:tc>
          <w:tcPr>
            <w:tcW w:type="dxa" w:w="2422"/>
          </w:tcPr>
          <w:p>
            <w:pPr>
              <w:spacing w:line="240" w:lineRule="auto" w:before="0" w:after="0"/>
              <w:ind w:firstLine="0"/>
            </w:pPr>
            <w:r>
              <w:rPr>
                <w:rFonts w:ascii="Liberation Serif" w:hAnsi="Liberation Serif"/>
                <w:sz w:val="24"/>
              </w:rPr>
              <w:t>Высокий</w:t>
            </w:r>
          </w:p>
        </w:tc>
        <w:tc>
          <w:tcPr>
            <w:tcW w:type="dxa" w:w="2422"/>
          </w:tcPr>
          <w:p>
            <w:pPr>
              <w:spacing w:line="240" w:lineRule="auto" w:before="0" w:after="0"/>
              <w:ind w:firstLine="0"/>
            </w:pPr>
            <w:r>
              <w:rPr>
                <w:rFonts w:ascii="Liberation Serif" w:hAnsi="Liberation Serif"/>
                <w:sz w:val="24"/>
              </w:rPr>
              <w:t>Средний</w:t>
            </w:r>
          </w:p>
        </w:tc>
        <w:tc>
          <w:tcPr>
            <w:tcW w:type="dxa" w:w="2422"/>
          </w:tcPr>
          <w:p>
            <w:pPr>
              <w:spacing w:line="240" w:lineRule="auto" w:before="0" w:after="0"/>
              <w:ind w:firstLine="0"/>
            </w:pPr>
            <w:r>
              <w:rPr>
                <w:rFonts w:ascii="Liberation Serif" w:hAnsi="Liberation Serif"/>
                <w:sz w:val="24"/>
              </w:rPr>
              <w:t>Минимальный</w:t>
            </w:r>
          </w:p>
        </w:tc>
      </w:tr>
      <w:tr>
        <w:tc>
          <w:tcPr>
            <w:tcW w:type="dxa" w:w="2422"/>
          </w:tcPr>
          <w:p>
            <w:pPr>
              <w:spacing w:line="240" w:lineRule="auto" w:before="0" w:after="0"/>
              <w:ind w:firstLine="0"/>
            </w:pPr>
            <w:r>
              <w:rPr>
                <w:rFonts w:ascii="Liberation Serif" w:hAnsi="Liberation Serif"/>
                <w:sz w:val="24"/>
              </w:rPr>
              <w:t>Интерфейс ввода данных</w:t>
            </w:r>
          </w:p>
        </w:tc>
        <w:tc>
          <w:tcPr>
            <w:tcW w:type="dxa" w:w="2422"/>
          </w:tcPr>
          <w:p>
            <w:pPr>
              <w:spacing w:line="240" w:lineRule="auto" w:before="0" w:after="0"/>
              <w:ind w:firstLine="0"/>
            </w:pPr>
            <w:r>
              <w:rPr>
                <w:rFonts w:ascii="Liberation Serif" w:hAnsi="Liberation Serif"/>
                <w:sz w:val="24"/>
              </w:rPr>
              <w:t>Плоская таблица</w:t>
            </w:r>
          </w:p>
        </w:tc>
        <w:tc>
          <w:tcPr>
            <w:tcW w:type="dxa" w:w="2422"/>
          </w:tcPr>
          <w:p>
            <w:pPr>
              <w:spacing w:line="240" w:lineRule="auto" w:before="0" w:after="0"/>
              <w:ind w:firstLine="0"/>
            </w:pPr>
            <w:r>
              <w:rPr>
                <w:rFonts w:ascii="Liberation Serif" w:hAnsi="Liberation Serif"/>
                <w:sz w:val="24"/>
              </w:rPr>
              <w:t>Таблица с макросами</w:t>
            </w:r>
          </w:p>
        </w:tc>
        <w:tc>
          <w:tcPr>
            <w:tcW w:type="dxa" w:w="2422"/>
          </w:tcPr>
          <w:p>
            <w:pPr>
              <w:spacing w:line="240" w:lineRule="auto" w:before="0" w:after="0"/>
              <w:ind w:firstLine="0"/>
            </w:pPr>
            <w:r>
              <w:rPr>
                <w:rFonts w:ascii="Liberation Serif" w:hAnsi="Liberation Serif"/>
                <w:sz w:val="24"/>
              </w:rPr>
              <w:t>Структурированные формы по UNIDO</w:t>
            </w:r>
          </w:p>
        </w:tc>
      </w:tr>
      <w:tr>
        <w:tc>
          <w:tcPr>
            <w:tcW w:type="dxa" w:w="2422"/>
          </w:tcPr>
          <w:p>
            <w:pPr>
              <w:spacing w:line="240" w:lineRule="auto" w:before="0" w:after="0"/>
              <w:ind w:firstLine="0"/>
            </w:pPr>
            <w:r>
              <w:rPr>
                <w:rFonts w:ascii="Liberation Serif" w:hAnsi="Liberation Serif"/>
                <w:sz w:val="24"/>
              </w:rPr>
              <w:t>Применимость для малого предприятия</w:t>
            </w:r>
          </w:p>
        </w:tc>
        <w:tc>
          <w:tcPr>
            <w:tcW w:type="dxa" w:w="2422"/>
          </w:tcPr>
          <w:p>
            <w:pPr>
              <w:spacing w:line="240" w:lineRule="auto" w:before="0" w:after="0"/>
              <w:ind w:firstLine="0"/>
            </w:pPr>
            <w:r>
              <w:rPr>
                <w:rFonts w:ascii="Liberation Serif" w:hAnsi="Liberation Serif"/>
                <w:sz w:val="24"/>
              </w:rPr>
              <w:t>Высокая, но с риском ошибок</w:t>
            </w:r>
          </w:p>
        </w:tc>
        <w:tc>
          <w:tcPr>
            <w:tcW w:type="dxa" w:w="2422"/>
          </w:tcPr>
          <w:p>
            <w:pPr>
              <w:spacing w:line="240" w:lineRule="auto" w:before="0" w:after="0"/>
              <w:ind w:firstLine="0"/>
            </w:pPr>
            <w:r>
              <w:rPr>
                <w:rFonts w:ascii="Liberation Serif" w:hAnsi="Liberation Serif"/>
                <w:sz w:val="24"/>
              </w:rPr>
              <w:t>Избыточный функционал</w:t>
            </w:r>
          </w:p>
        </w:tc>
        <w:tc>
          <w:tcPr>
            <w:tcW w:type="dxa" w:w="2422"/>
          </w:tcPr>
          <w:p>
            <w:pPr>
              <w:spacing w:line="240" w:lineRule="auto" w:before="0" w:after="0"/>
              <w:ind w:firstLine="0"/>
            </w:pPr>
            <w:r>
              <w:rPr>
                <w:rFonts w:ascii="Liberation Serif" w:hAnsi="Liberation Serif"/>
                <w:sz w:val="24"/>
              </w:rPr>
              <w:t>Оптимальная</w:t>
            </w:r>
          </w:p>
        </w:tc>
      </w:tr>
    </w:tbl>
    <w:p>
      <w:r>
        <w:t>Для целей выполнения настоящей выпускной квалификационной работы выбрана старшая редакция Project Expert 6 Holding. В отличие от базовых версий Standard и Professional, версия Holding предоставляет расширенный функционал блок-интегратора для консолидации финансовой отчётности и управления субподрядными (аутсорсинговыми) цепочками производства. Данный функционал принципиально важен для моделирования проектируемой гибридной производственной модели: программа позволяет создать несколько взаимосвязанных субпроектов, описывающих экономику контрактного изготовителя печатных плат, литьевого производства пластиковых корпусов и собственного сборочного цеха. Модуль формирования модели холдинга автоматически учитывает взаимные финансовые обязательства, нивелирует внутренние трансфертные обороты и генерирует единую консолидированную отчётность для инвестора.</w:t>
      </w:r>
    </w:p>
    <w:p>
      <w:r>
        <w:t>Структура Project Expert 6 Holding включает шесть основных разделов, соответствующих логике разработки бизнес-плана по стандарту UNIDO: «Проект» (параметры проекта, список продуктов, настройка расчёта), «Компания» (стартовый баланс, организационная структура), «Окружение» (макроэкономические параметры, налоги, инфляция, валюты), «Инвестиционный план» (календарный график, активы, амортизация), «Операционный план» (план сбыта, производственный план, персонал, общие издержки) и «Финансирование» (привлечение капитала, графики погашения). На основе введённых данных система автоматически формирует раздел «Результаты», содержащий детализированные финансовые отчёты, интегральные показатели эффективности и средства сценарного анализа.</w:t>
      </w:r>
    </w:p>
    <w:p>
      <w:r>
        <w:t>Особую аналитическую ценность представляет модуль «Анализ чувствительности» (Sensitivity Analysis, What-if), позволяющий провести стресс-тестирование проекта путём вариации ключевых параметров (цена реализации продукции, объём сбыта, ставка дисконтирования, курсы валют, стоимость сырья и комплектующих). Данный инструмент наглядно демонстрирует инвесторам устойчивость проектируемой бизнес-модели к внешним шокам и позволяет определить границы безубыточной эксплуатации предприятия, что приобретает особую значимость в условиях макроэкономической нестабильности 2026 года.</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Liberation Serif" w:hAnsi="Liberation Serif" w:cs="Liberation Serif"/>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40" w:line="360" w:lineRule="auto"/>
      <w:ind w:firstLine="0"/>
      <w:jc w:val="center"/>
      <w:outlineLvl w:val="0"/>
    </w:pPr>
    <w:rPr>
      <w:rFonts w:asciiTheme="majorHAnsi" w:eastAsiaTheme="majorEastAsia" w:hAnsiTheme="majorHAnsi" w:cstheme="majorBidi" w:ascii="Liberation Serif" w:hAnsi="Liberation Serif" w:cs="Liberation Serif"/>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0" w:after="240" w:line="360" w:lineRule="auto"/>
      <w:ind w:firstLine="0"/>
      <w:jc w:val="center"/>
      <w:outlineLvl w:val="1"/>
    </w:pPr>
    <w:rPr>
      <w:rFonts w:asciiTheme="majorHAnsi" w:eastAsiaTheme="majorEastAsia" w:hAnsiTheme="majorHAnsi" w:cstheme="majorBidi" w:ascii="Liberation Serif" w:hAnsi="Liberation Serif" w:cs="Liberation Serif"/>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pPr>
      <w:spacing w:line="240" w:lineRule="auto" w:before="240" w:after="120"/>
      <w:ind w:firstLine="0"/>
      <w:jc w:val="right"/>
    </w:pPr>
    <w:rPr>
      <w:rFonts w:ascii="Liberation Serif" w:hAnsi="Liberation Serif"/>
      <w:sz w:val="24"/>
    </w:rPr>
  </w:style>
  <w:style w:type="paragraph" w:customStyle="1" w:styleId="FigureCaption">
    <w:name w:val="FigureCaption"/>
    <w:pPr>
      <w:spacing w:line="240" w:lineRule="auto" w:before="120" w:after="240"/>
      <w:ind w:firstLine="0"/>
      <w:jc w:val="center"/>
    </w:pPr>
    <w:rPr>
      <w:rFonts w:ascii="Liberation Serif" w:hAnsi="Liberation Serif"/>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