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Актуальность темы исследования определяется совокупностью технологических, нормативных и макроэкономических факторов, формирующих беспрецедентные условия для создания новых производственных предприятий в сфере систем пожарной безопасности на территории Российской Федерации.</w:t>
      </w:r>
    </w:p>
    <w:p>
      <w:r>
        <w:t>В 2025 году объём российского рынка пожарной автоматики достиг исторического максимума, составив приблизительно 54 миллиарда рублей, что демонстрирует уверенный рост на 10% по сравнению с показателями 2024 года [1]. Одновременно с этим произошла кардинальная трансформация конкурентного ландшафта: Приказ Минпромторга №4611, вступивший в полную силу с мая 2025 года, ввёл жёсткий запрет на параллельный импорт противопожарной продукции, исключив код товарной номенклатуры ТН ВЭД 8531 из перечня разрешённых к ввозу без согласия правообладателей [2].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продукцию.</w:t>
      </w:r>
    </w:p>
    <w:p>
      <w:r>
        <w:t>Параллельно государство реализует масштабные программы стимулирования радиоэлектронной промышленности. Введение с 1 сентября 2026 года технологического сбора на импортируемую электронную технику (максимальная ставка до 5 000 рублей за товарную единицу) делает ввоз готовых устройств среднего ценового сегмента экономически нецелесообразным и открывает окно возможностей для малых контрактных производств, осуществляющих финальную сборку из импортируемой элементной базы [3].</w:t>
      </w:r>
    </w:p>
    <w:p>
      <w:r>
        <w:t>Нормативно-правовая среда 2025–2026 годов формирует безальтернативную потребность в современных комбинированных пожарных извещателях. Обновлённый ГОСТ Р 53325-2024 увеличил норматив защиты извещателей от электромагнитных помех более чем в три раза — с 3 В/м до 10 В/м, а минимальный срок службы оборудования повышен с 7 до 10 лет [4]. Изменение №1 к СП 484.1311500.2020, вступившее в силу с 1 сентября 2025 года, ужесточило требования к отказоустойчивости адресных линий связи и сделало обязательным применение изоляторов короткого замыкания [5]. Приказ МЧС №252 установил обязательность установки автономных дымовых пожарных извещателей в жилых помещениях, прихожих и коридорах квартир, а также в индивидуальных жилых домах [6]. Совокупность данных требований формирует лавинообразный рост спроса на комбинированные (мультикритериальные) извещатели, объединяющие оптический дымовой и тепловой каналы обнаружения.</w:t>
      </w:r>
    </w:p>
    <w:p>
      <w:r>
        <w:t>Комбинированные дымо-тепловые извещатели используют два независимых физических признака пожара (рассеяние инфракрасного излучения на частицах дыма и градиент роста температуры), что повышает достоверность обнаружения возгорания и радикально снижает вероятность ложных срабатываний по сравнению с моносенсорными аналогами. Интегрированный микропроцессор осуществляет цифровую фильтрацию сигналов, классифицируя событие как «пожар» только при одновременном срабатывании обоих каналов, что критически важно для объектов с высокой плотностью пребывания людей — торговых центров, вокзалов, образовательных и медицинских учреждений [7].</w:t>
      </w:r>
    </w:p>
    <w:p>
      <w:r>
        <w:t>В условиях высокой капиталоёмкости полностью роботизированных SMT-линий (стоимость от 120 миллионов рублей), доступных только крупнейшим игрокам рынка (ЗАО «НВП «Болид», ГК «Рубеж»), особую актуальность приобретает модель гибридной автоматизации. Данная модель предполагает передачу капиталоёмких операций (поверхностный SMT-монтаж печатных плат, литьё пластиковых корпусов) на контрактное производство, а концентрацию собственных ресурсов — на операциях с наивысшей добавленной стоимостью: финишной сборке, программировании микроконтроллеров и 100% автоматизированном метрологическом тестировании готовой продукции на специализированных стендах дымового и теплового каналов. Подобный подход позволяет создать конкурентоспособное производственное предприятие при стартовых инвестициях, доступных малому бизнесу [8].</w:t>
      </w:r>
    </w:p>
    <w:p>
      <w:r>
        <w:t>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извещателей, позволяющего на основе ограниченного объёма стартовых вложений сформировать устойчивую бизнес-модель с приемлемым сроком окупаемости и возможностью адаптации к условиям российского рынка 2026 года.</w:t>
      </w:r>
    </w:p>
    <w:p>
      <w:r>
        <w:t>Для достижения поставленной цели в работе решаются следующие задачи:</w:t>
      </w:r>
    </w:p>
    <w:p>
      <w:pPr>
        <w:ind w:firstLine="709"/>
      </w:pPr>
      <w:r>
        <w:t>– обосновать технико-экономическую целесообразность создания предприятия на основе анализа рынка пожарной сигнализации и конкурентной среды;</w:t>
      </w:r>
    </w:p>
    <w:p>
      <w:pPr>
        <w:ind w:firstLine="709"/>
      </w:pPr>
      <w:r>
        <w:t>– определить ключевые показатели эффективности инвестиционного проекта и обосновать выбор программного инструмента для финансового моделирования;</w:t>
      </w:r>
    </w:p>
    <w:p>
      <w:pPr>
        <w:ind w:firstLine="709"/>
      </w:pPr>
      <w:r>
        <w:t>– разработать производственную и организационную модель предприятия с детализацией технологического процесса, включая автоматизированные участки тестирования;</w:t>
      </w:r>
    </w:p>
    <w:p>
      <w:pPr>
        <w:ind w:firstLine="709"/>
      </w:pPr>
      <w:r>
        <w:t>– сформировать финансовую модель проекта в программном комплексе Project Expert, рассчитать интегральные показатели эффективности и провести анализ чувствительности.</w:t>
      </w:r>
    </w:p>
    <w:p>
      <w:r>
        <w:t>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промышленности.</w:t>
      </w:r>
    </w:p>
    <w:p>
      <w:r>
        <w:t>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дымо-тепловых пожарных извещателей с применением автоматизированных систем контроля качества.</w:t>
      </w:r>
    </w:p>
    <w:p>
      <w:r>
        <w:t>Теоретико-методологическую базу исследования составляют положения Федерального закона «Об инвестиционной деятельности в Российской Федерации, осуществляемой в форме капитальных вложений», методические рекомендации по оценке эффективности инвестиционных проектов, нормативные акты в области пожарной безопасности (ТР ЕАЭС 043/2017, ГОСТ Р 53325-2024, СП 484.1311500.2020), а также аналитические материалы Минпромторга, МЧС России, ФНС и Банка России [9].</w:t>
      </w:r>
    </w:p>
    <w:p>
      <w:r>
        <w:t>В работе использованы расчётно-аналитический метод, метод сравнительного анализа, элементы сценарного моделирования, графический метод и приёмы бизнес-планирования. В качестве основного инструмента финансового моделирования применяется специализированный программный комплекс Project Expert 6 Holding,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(NPV, IRR, PI, DPP) по различным сценариям [10].</w:t>
      </w:r>
    </w:p>
    <w:p>
      <w:r>
        <w:t>Практическая значимость исследования состоит в том, что разработанная модель может быть использована как основа для подготовки бизнес-плана, обоснования заявки на привлечение финансирования (в том числе через программы льготного лизинга и грантов «Мой бизнес»), а также для последующей адаптации проекта к конкретным региональным и технологическим условиям.</w:t>
      </w:r>
    </w:p>
    <w:p>
      <w:r>
        <w:t>Структурно работа состоит из введения, четырёх глав, заключения, библиографического списка и приложений. В первой главе проведён анализ рынка пожарной сигнализации и обоснована технико-экономическая целесообразность проекта. Во второй главе сформулированы теоретические основы оценки эффективности инвестиционного проекта. В третьей главе разработана производственная, организационная и финансовая модель предприятия с детализацией автоматизированного контроля качества и внесением данных в Project Expert. В четвёртой главе представлены выводы по эффективности предложения. В приложениях представлен дополнительный графический и табличный материал.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Liberation Serif" w:hAnsi="Liberation Serif" w:cs="Liberation Serif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Liberation Serif" w:hAnsi="Liberation Serif" w:cs="Liberation Serif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Liberation Serif" w:hAnsi="Liberation Serif" w:cs="Liberation Serif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