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b/>
          <w:sz w:val="28"/>
        </w:rPr>
        <w:t>3.5. Анализ чувствительности и рисков проекта</w:t>
      </w:r>
    </w:p>
    <w:p/>
    <w:p>
      <w:pPr>
        <w:spacing w:line="360" w:lineRule="auto"/>
        <w:ind w:firstLine="709"/>
      </w:pPr>
      <w:r>
        <w:t>Даже при положительном операционном результате во втором и третьем году проект остаётся чувствительным к изменению ряда ключевых параметров. Анализ чувствительности позволяет определить, какие факторы оказывают наибольшее влияние на финансовый результат, а оценка рисков - выявить наиболее вероятные угрозы и предложить меры по их снижению [5].</w:t>
      </w:r>
    </w:p>
    <w:p>
      <w:pPr>
        <w:spacing w:line="360" w:lineRule="auto"/>
        <w:ind w:firstLine="709"/>
      </w:pPr>
      <w:r>
        <w:t>Анализ чувствительности. Для оценки устойчивости проекта выполнен анализ влияния отклонений основных параметров на NPV. Результаты представлены в таблице 3.10.</w:t>
      </w:r>
    </w:p>
    <w:p>
      <w:pPr>
        <w:ind w:firstLine="0"/>
        <w:jc w:val="center"/>
      </w:pPr>
      <w:r>
        <w:rPr>
          <w:sz w:val="24"/>
        </w:rPr>
        <w:t>Таблица 3.10 - Анализ чувствительности NPV к изменению ключевых параметров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Изменение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NPV, руб.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Отклонение от базы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Базовый сценарий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-5 570 029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Объём продаж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-3 850 000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+1 720 029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Объём продаж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-2 130 000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+3 440 029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Объём продаж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-7 290 000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-1 720 000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Цена реализации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-3 200 000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+2 370 029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Цена реализации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-7 940 000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-2 370 000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Переменные затраты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-6 880 000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-1 310 000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Переменные затраты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-4 260 000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+1 310 029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Постоянные затраты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-6 390 000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-820 000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Постоянные затраты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-4 750 000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+820 029</w:t>
            </w:r>
          </w:p>
        </w:tc>
      </w:tr>
    </w:tbl>
    <w:p/>
    <w:p>
      <w:pPr>
        <w:spacing w:line="360" w:lineRule="auto"/>
        <w:ind w:firstLine="709"/>
      </w:pPr>
      <w:r>
        <w:t>Наибольшее влияние на NPV оказывает цена реализации (+/- 2,37 млн руб. при 10%), затем объём продаж (+/- 1,72 млн). Переменные и постоянные затраты влияют в меньшей степени. Ключевой вывод: главная задача руководства - обеспечение устойчивого сбыта и обоснованной ценовой политики [5].</w:t>
      </w:r>
    </w:p>
    <w:p>
      <w:pPr>
        <w:ind w:firstLine="0"/>
        <w:jc w:val="center"/>
      </w:pPr>
      <w:r>
        <w:rPr>
          <w:i/>
          <w:sz w:val="24"/>
        </w:rPr>
        <w:t>Рисунок 3.14 - Диаграмма чувствительности NPV (из Project Expert или Excel)</w:t>
      </w:r>
    </w:p>
    <w:p>
      <w:pPr>
        <w:spacing w:line="360" w:lineRule="auto"/>
        <w:ind w:firstLine="709"/>
      </w:pPr>
      <w:r>
        <w:t>Сценарный анализ. Разработаны три сценария (таблица 3.11).</w:t>
      </w:r>
    </w:p>
    <w:p>
      <w:pPr>
        <w:ind w:firstLine="0"/>
        <w:jc w:val="center"/>
      </w:pPr>
      <w:r>
        <w:rPr>
          <w:sz w:val="24"/>
        </w:rPr>
        <w:t>Таблица 3.11 - Сценарии развития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Пессимистический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Базовый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Оптимистический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Объём продаж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80% от плана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Цена реализации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По плану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Переменные затраты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По плану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NPV (оценка), млн руб.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 -9,5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-5,57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 -1,5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Операц. прибыль год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~2,0 млн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~4,5 млн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~7,0 млн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Выход на окупаемость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Не ранее 5 года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4-5 год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3-4 год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Вероятность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20%</w:t>
            </w:r>
          </w:p>
        </w:tc>
      </w:tr>
    </w:tbl>
    <w:p/>
    <w:p>
      <w:pPr>
        <w:spacing w:line="360" w:lineRule="auto"/>
        <w:ind w:firstLine="709"/>
      </w:pPr>
      <w:r>
        <w:t>В оптимистическом сценарии при удлинении горизонта до 5 лет проект выходит в зону положительного NPV. Пессимистический углубляет убыток, но ликвидность сохраняется.</w:t>
      </w:r>
    </w:p>
    <w:p>
      <w:pPr>
        <w:spacing w:line="360" w:lineRule="auto"/>
        <w:ind w:firstLine="709"/>
      </w:pPr>
      <w:r>
        <w:t>Оценка рисков проекта (таблица 3.12).</w:t>
      </w:r>
    </w:p>
    <w:p>
      <w:pPr>
        <w:ind w:firstLine="0"/>
        <w:jc w:val="center"/>
      </w:pPr>
      <w:r>
        <w:rPr>
          <w:sz w:val="24"/>
        </w:rPr>
        <w:t>Таблица 3.12 - Карта рисков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Риск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Категория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Вер.(1-5)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Ущерб(1-5)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Балл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Мера снижения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Снижение спроса (сезонность)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Рыночный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Производство на склад; диверсификация [10]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Рост цен на цемент (+15-20%)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Рыночный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Договоры с фиксацией; 2-3 поставщика [29]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Потеря ключевого клиента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Рыночный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Портфель 10+ клиентов; доля одного &lt;25%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Поломка вибропресса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Производств.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Регламент ТО; ЗИП; сервисный договор [28]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Брак продукции (&gt;5%)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Производств.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АСУ ТП дозирования; контроль ГОСТ [7],[17]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Рост ставки ЦБ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Финансовый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Фиксированная ставка кредита (10%)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Кассовый разрыв (зима)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Финансовый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Резерв ликвидности ~2 млн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Задержка оплаты клиентами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Финансовый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Лимит отсрочки 30 дн.; предоплата новых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Выход конкурента в регион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Рыночный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Качество + скорость + сервис [13]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Ужесточение сертификации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Регуляторный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Продукция по ГОСТ; лаборатория [17],[26]</w:t>
            </w:r>
          </w:p>
        </w:tc>
      </w:tr>
    </w:tbl>
    <w:p/>
    <w:p>
      <w:pPr>
        <w:spacing w:line="360" w:lineRule="auto"/>
        <w:ind w:firstLine="709"/>
      </w:pPr>
      <w:r>
        <w:t>Наиболее критичны: снижение спроса (16 баллов), рост цен на цемент (12), потеря клиента (12), поломка пресса (12). Все обеспечены мерами снижения.</w:t>
      </w:r>
    </w:p>
    <w:p>
      <w:pPr>
        <w:spacing w:line="360" w:lineRule="auto"/>
        <w:ind w:firstLine="709"/>
      </w:pPr>
      <w:r>
        <w:t>Направления повышения устойчивости:</w:t>
      </w:r>
    </w:p>
    <w:p>
      <w:pPr>
        <w:spacing w:line="360" w:lineRule="auto"/>
        <w:ind w:firstLine="709"/>
      </w:pPr>
      <w:r>
        <w:t>1) Увеличение горизонта проекта до 5 лет - при сохранении операционной прибыли ~4,5 млн руб/год проект окупается на 4-5 году [5].</w:t>
      </w:r>
    </w:p>
    <w:p>
      <w:pPr>
        <w:spacing w:line="360" w:lineRule="auto"/>
        <w:ind w:firstLine="709"/>
      </w:pPr>
      <w:r>
        <w:t>2) Наращивание объёмов сбыта на 20% (госзакупки, расширение географии, B2C) - довести до окупаемости за 3-4 года [10].</w:t>
      </w:r>
    </w:p>
    <w:p>
      <w:pPr>
        <w:spacing w:line="360" w:lineRule="auto"/>
        <w:ind w:firstLine="709"/>
      </w:pPr>
      <w:r>
        <w:t>3) Оптимизация кредита - досрочное погашение при появлении свободных средств.</w:t>
      </w:r>
    </w:p>
    <w:p>
      <w:pPr>
        <w:spacing w:line="360" w:lineRule="auto"/>
        <w:ind w:firstLine="709"/>
      </w:pPr>
      <w:r>
        <w:t>4) Расширение ассортимента (бордюры, водосточные лотки) - новые матрицы без крупных инвестиций [28].</w:t>
      </w:r>
    </w:p>
    <w:p>
      <w:pPr>
        <w:spacing w:line="360" w:lineRule="auto"/>
        <w:ind w:firstLine="709"/>
      </w:pPr>
      <w:r>
        <w:t>5) Снижение постоянных расходов зимой - сокращённый график, оптимизация маркетинга.</w:t>
      </w:r>
    </w:p>
    <w:p>
      <w:pPr>
        <w:ind w:firstLine="0"/>
        <w:jc w:val="center"/>
      </w:pPr>
      <w:r>
        <w:rPr>
          <w:i/>
          <w:sz w:val="24"/>
        </w:rPr>
        <w:t>Рисунок 3.15 - Матрица рисков «вероятность - ущерб»</w:t>
      </w:r>
    </w:p>
    <w:p>
      <w:pPr>
        <w:spacing w:line="360" w:lineRule="auto"/>
        <w:ind w:firstLine="709"/>
      </w:pPr>
      <w:r>
        <w:t>Таким образом, ключевые факторы - объём продаж и цена. Проект не окупается за 36 мес., но генерирует операционную прибыль со 2 года и сохраняет ликвидность. При удлинении до 5 лет или росте объёмов на 20% выходит в зону положительного NPV. Риски идентифицированы и обеспечены мерами снижения [5].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