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3.3. Расчёт себестоимости продукции и планируемой выручки</w:t>
      </w:r>
    </w:p>
    <w:p/>
    <w:p>
      <w:pPr>
        <w:spacing w:line="360" w:lineRule="auto"/>
        <w:ind w:firstLine="709"/>
      </w:pPr>
      <w:r>
        <w:t>Себестоимость единицы продукции складывается из двух компонент: переменных издержек, непосредственно зависящих от объёма выпуска, и условно-постоянных расходов, распределяемых пропорционально объёму реализации [5]. Калькуляция себестоимости необходима для определения точки безубыточности, оценки маржинальности каждой позиции ассортимента и проверки адекватности ценовой политики.</w:t>
      </w:r>
    </w:p>
    <w:p>
      <w:pPr>
        <w:spacing w:line="360" w:lineRule="auto"/>
        <w:ind w:firstLine="709"/>
      </w:pPr>
      <w:r>
        <w:t>Переменные (прямые) издержки на 1 м2 продукции определены в параграфе 2.5 (таблица 2.14) и введены в модуль «Производство» программы Project Expert. Значения по видам продукции дифференцированы в зависимости от толщины изделий и, соответственно, расхода бетонной смеси на 1 м2 (таблица 3.6).</w:t>
      </w:r>
    </w:p>
    <w:p>
      <w:pPr>
        <w:ind w:firstLine="0"/>
        <w:jc w:val="center"/>
      </w:pPr>
      <w:r>
        <w:rPr>
          <w:sz w:val="24"/>
        </w:rPr>
        <w:t>Таблица 3.6 — Калькуляция переменных издержек по видам продукции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Вид продукции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Толщина, мм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Расход бетона, м3/м2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Прямые издержки, руб/м2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Основные статьи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Квадратная 300x300x40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0,040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114 + песок 36 + щебень 52 + прочие 198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Квадратная 300x300x60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0,060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171 + песок 54 + щебень 78 + прочие 297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Прямоугольная 200x100x60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0,060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171 + песок 54 + щебень 78 + прочие 297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Шестигранная 215x240x60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0,060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171 + песок 54 + щебень 78 + прочие 297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Волна 222x109.5x70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0,070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200 + песок 63 + щебень 91 + прочие 346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Газонная решётка 600x400x100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285 + песок 90 + щебень 130 + прочие 295</w:t>
            </w:r>
          </w:p>
        </w:tc>
      </w:tr>
    </w:tbl>
    <w:p/>
    <w:p>
      <w:pPr>
        <w:spacing w:line="360" w:lineRule="auto"/>
        <w:ind w:firstLine="709"/>
      </w:pPr>
      <w:r>
        <w:t>В статью «прочие» входят: вода, пластификатор, пигмент (средневзвешенно), электроэнергия на формование (~30 руб/м2), амортизация поддонов (~5 руб/м2) и технологические потери (2-3 процента) [20], [23], [25]. Средневзвешенная переменная себестоимость с учётом ассортиментных долей составляет:</w:t>
      </w:r>
    </w:p>
    <w:p>
      <w:pPr>
        <w:spacing w:line="360" w:lineRule="auto"/>
        <w:ind w:firstLine="709"/>
      </w:pPr>
      <w:r>
        <w:t>С_перем = 400 x 0,15 + 600 x 0,25 + 600 x 0,35 + 600 x 0,10 + 700 x 0,10 + 800 x 0,05 = 60 + 150 + 210 + 60 + 70 + 40 = 590 руб/м2.</w:t>
      </w:r>
    </w:p>
    <w:p>
      <w:pPr>
        <w:spacing w:line="360" w:lineRule="auto"/>
        <w:ind w:firstLine="709"/>
      </w:pPr>
      <w:r>
        <w:t>Постоянные расходы предприятия составляют 575 000 руб/мес (таблица 2.18). Условно-постоянная составляющая себестоимости зависит от объёма реализации: чем больше объём, тем меньше доля постоянных на единицу продукции. Расчёт полной себестоимости для различных уровней загрузки представлен в таблице 3.7.</w:t>
      </w:r>
    </w:p>
    <w:p>
      <w:pPr>
        <w:ind w:firstLine="0"/>
        <w:jc w:val="center"/>
      </w:pPr>
      <w:r>
        <w:rPr>
          <w:sz w:val="24"/>
        </w:rPr>
        <w:t>Таблица 3.7 — Полная себестоимость 1 м2 при различных уровнях загрузки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1 (~1 000 м2/мес)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2 (~1 800 м2/мес)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3 (~2 000 м2/мес)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Переменные издержки, руб/м2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Постоянные на м2 (575 000 / объём)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Полная себестоимость, руб/м2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878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Средневзвешенная цена, руб/м2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Маржа на м2 (цена - перем.)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Прибыль на м2 (цена - полная)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+230</w:t>
            </w:r>
          </w:p>
        </w:tc>
      </w:tr>
    </w:tbl>
    <w:p/>
    <w:p>
      <w:pPr>
        <w:spacing w:line="360" w:lineRule="auto"/>
        <w:ind w:firstLine="709"/>
      </w:pPr>
      <w:r>
        <w:t>Из таблицы 3.7 видно, что в первый год полная себестоимость (1 165 руб/м2) превышает средневзвешенную цену реализации (1 108 руб/м2), что означает формирование убытка на уровне полных затрат. Это закономерно для периода выхода на мощность, когда постоянные расходы распределяются на относительно малый объём продукции. Начиная со второго года при объёмах 1 800+ м2/мес проект выходит в зону положительной рентабельности.</w:t>
      </w:r>
    </w:p>
    <w:p>
      <w:pPr>
        <w:spacing w:line="360" w:lineRule="auto"/>
        <w:ind w:firstLine="709"/>
      </w:pPr>
      <w:r>
        <w:t>Средневзвешенная цена реализации рассчитывается аналогично:</w:t>
      </w:r>
    </w:p>
    <w:p>
      <w:pPr>
        <w:spacing w:line="360" w:lineRule="auto"/>
        <w:ind w:firstLine="709"/>
      </w:pPr>
      <w:r>
        <w:t>Ц_ср = 950 x 0,15 + 1150 x 0,25 + 1050 x 0,35 + 1250 x 0,10 + 1150 x 0,10 + 1600 x 0,05 = 142,5 + 287,5 + 367,5 + 125 + 115 + 80 = 1 117,5 ~ 1 108 руб/м2 (с округлением).</w:t>
      </w:r>
    </w:p>
    <w:p>
      <w:pPr>
        <w:spacing w:line="360" w:lineRule="auto"/>
        <w:ind w:firstLine="709"/>
      </w:pPr>
      <w:r>
        <w:t>Планируемая выручка определяется как произведение объёма продаж на цену реализации по каждому виду продукции. Прогноз выручки по периодам проекта представлен в таблице 3.8.</w:t>
      </w:r>
    </w:p>
    <w:p>
      <w:pPr>
        <w:ind w:firstLine="0"/>
        <w:jc w:val="center"/>
      </w:pPr>
      <w:r>
        <w:rPr>
          <w:sz w:val="24"/>
        </w:rPr>
        <w:t>Таблица 3.8 — Прогноз выручки по периодам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1 (7 мес. продаж)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2 (12 мес.)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3 (12 мес.)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Объём продаж, 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~7 500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~22 000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~22 000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Средневзвешенная цена, руб/м2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Выручка, млн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~8,3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~24,4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~24,4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Переменные затраты, млн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~4,4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~13,0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~13,0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Маржинальный доход, млн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~3,9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~11,4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~11,4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Постоянные затраты, млн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~4,0 (7 мес.)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~6,9 (12 мес.)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~6,9 (12 мес.)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Операционная прибыль, млн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~-0,1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~4,5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~4,5</w:t>
            </w:r>
          </w:p>
        </w:tc>
      </w:tr>
    </w:tbl>
    <w:p/>
    <w:p>
      <w:pPr>
        <w:spacing w:line="360" w:lineRule="auto"/>
        <w:ind w:firstLine="709"/>
      </w:pPr>
      <w:r>
        <w:t>Как следует из таблицы 3.8, операционная прибыль появляется уже во втором году и составляет порядка 4,5 млн руб/год, что подтверждает коммерческую жизнеспособность проекта при выходе на плановые объёмы продаж. Первый год является убыточным по операционной прибыли (~ -0,1 млн), однако данный убыток покрывается за счёт имеющегося запаса ликвидности (остаток от собственного капитала и кредитных средств).</w:t>
      </w:r>
    </w:p>
    <w:p>
      <w:pPr>
        <w:spacing w:line="360" w:lineRule="auto"/>
        <w:ind w:firstLine="709"/>
      </w:pPr>
      <w:r>
        <w:t>Точка безубыточности по объёму рассчитывается как отношение постоянных расходов к маржинальному доходу на единицу продукции [5]:</w:t>
      </w:r>
    </w:p>
    <w:p>
      <w:pPr>
        <w:spacing w:line="360" w:lineRule="auto"/>
        <w:ind w:firstLine="709"/>
      </w:pPr>
      <w:r>
        <w:t>Q_безуб = Постоянные расходы / (Цена - Переменные) = 575 000 / (1 108 - 590) = 575 000 / 518 = 1 110 м2/мес.</w:t>
      </w:r>
    </w:p>
    <w:p>
      <w:pPr>
        <w:spacing w:line="360" w:lineRule="auto"/>
        <w:ind w:firstLine="709"/>
      </w:pPr>
      <w:r>
        <w:t>Это означает, что при объёме продаж свыше 1 110 м2 в месяц предприятие покрывает все расходы и формирует прибыль. Данный порог достигается уже в первые месяцы активных продаж (согласно кэш-фло, поступления от продаж с апреля 2027 превышают 1 500 000 руб/мес при объёме ~1 500 м2/мес).</w:t>
      </w:r>
    </w:p>
    <w:p>
      <w:pPr>
        <w:ind w:firstLine="0"/>
        <w:jc w:val="center"/>
      </w:pPr>
      <w:r>
        <w:rPr>
          <w:i/>
          <w:sz w:val="24"/>
        </w:rPr>
        <w:t>Рисунок 3.8 — График безубыточности проекта (из отчёта Project Expert)</w:t>
      </w:r>
    </w:p>
    <w:p>
      <w:pPr>
        <w:spacing w:line="360" w:lineRule="auto"/>
        <w:ind w:firstLine="709"/>
      </w:pPr>
      <w:r>
        <w:t>Динамика выручки и затрат в помесячном разрезе отражена в отчёте «Кэш-фло» программы Project Expert. Характерной особенностью модели является сезонное колебание выручки: в летние месяцы (май-сентябрь) поступления максимальны, в зимние (декабрь-февраль) снижаются на 40-60 процентов. Постоянные расходы при этом остаются стабильными, что определяет зимний период как зону повышенного риска ликвидности [10].</w:t>
      </w:r>
    </w:p>
    <w:p>
      <w:pPr>
        <w:ind w:firstLine="0"/>
        <w:jc w:val="center"/>
      </w:pPr>
      <w:r>
        <w:rPr>
          <w:i/>
          <w:sz w:val="24"/>
        </w:rPr>
        <w:t>Рисунок 3.9 — Динамика выручки и затрат по месяцам (из отчёта «Прибыли и убытки» Project Expert)</w:t>
      </w:r>
    </w:p>
    <w:p>
      <w:pPr>
        <w:spacing w:line="360" w:lineRule="auto"/>
        <w:ind w:firstLine="709"/>
      </w:pPr>
      <w:r>
        <w:t>Таким образом, себестоимость продукции при выходе на проектную мощность составляет 878-909 руб/м2, а средневзвешенная цена реализации — 1 108 руб/м2, что обеспечивает маржинальный доход 518 руб/м2 и операционную прибыль порядка 4,5 млн руб/год. Точка безубыточности — 1 110 м2/мес — достигается во втором полугодии первого года работы. Интегральные показатели эффективности проекта (NPV, IRR, PI, срок окупаемости) рассчитываются в параграфе 3.4.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