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3.4. Построение финансовой модели проекта в Project Expert</w:t>
      </w:r>
    </w:p>
    <w:p/>
    <w:p>
      <w:pPr>
        <w:spacing w:line="360" w:lineRule="auto"/>
        <w:ind w:firstLine="709"/>
      </w:pPr>
      <w:r>
        <w:t>После ввода всех исходных данных (параграфы 3.1-3.3) программа Project Expert формирует комплект итоговых финансовых отчётов, на основе которых производится оценка эффективности инвестиционного проекта. В настоящем параграфе приводятся основные результаты моделирования: отчёт о прибылях и убытках, отчёт о движении денежных средств (кэш-фло), а также интегральные показатели эффективности [16].</w:t>
      </w:r>
    </w:p>
    <w:p>
      <w:pPr>
        <w:spacing w:line="360" w:lineRule="auto"/>
        <w:ind w:firstLine="709"/>
      </w:pPr>
      <w:r>
        <w:t>Отчёт о прибылях и убытках. Данный отчёт формируется автоматически на основе данных плана сбыта, плана производства, общих издержек и плана персонала. Он отражает помесячную динамику выручки, себестоимости, валовой и чистой прибыли предприятия. Фрагмент отчёта за первый год работы представлен на рисунке 3.10.</w:t>
      </w:r>
    </w:p>
    <w:p>
      <w:pPr>
        <w:ind w:firstLine="0"/>
        <w:jc w:val="center"/>
      </w:pPr>
      <w:r>
        <w:rPr>
          <w:i/>
          <w:sz w:val="24"/>
        </w:rPr>
        <w:t>Рисунок 3.10 — Отчёт о прибылях и убытках (фрагмент из Project Expert)</w:t>
      </w:r>
    </w:p>
    <w:p>
      <w:pPr>
        <w:spacing w:line="360" w:lineRule="auto"/>
        <w:ind w:firstLine="709"/>
      </w:pPr>
      <w:r>
        <w:t>Из отчёта следует, что предприятие начинает генерировать операционную прибыль с момента превышения объёма продаж над точкой безубыточности (1 110 м2/мес). В зимние месяцы, когда объём продаж снижается из-за сезонности спроса, операционный результат может быть отрицательным, однако это компенсируется накоплениями летнего периода [10].</w:t>
      </w:r>
    </w:p>
    <w:p>
      <w:pPr>
        <w:spacing w:line="360" w:lineRule="auto"/>
        <w:ind w:firstLine="709"/>
      </w:pPr>
      <w:r>
        <w:t>Отчёт о движении денежных средств (кэш-фло). Данный отчёт является ключевым для оценки ликвидности проекта. Он отражает все притоки и оттоки денежных средств по трём видам деятельности: операционной, инвестиционной и финансовой. Кэш-фло за период проекта представлен на рисунке 3.11.</w:t>
      </w:r>
    </w:p>
    <w:p>
      <w:pPr>
        <w:ind w:firstLine="0"/>
        <w:jc w:val="center"/>
      </w:pPr>
      <w:r>
        <w:rPr>
          <w:i/>
          <w:sz w:val="24"/>
        </w:rPr>
        <w:t>Рисунок 3.11 — Отчёт «Кэш-фло» (фрагмент из Project Expert)</w:t>
      </w:r>
    </w:p>
    <w:p>
      <w:pPr>
        <w:spacing w:line="360" w:lineRule="auto"/>
        <w:ind w:firstLine="709"/>
      </w:pPr>
      <w:r>
        <w:t>Анализ кэш-фло показывает следующие характерные особенности проекта:</w:t>
      </w:r>
    </w:p>
    <w:p>
      <w:pPr>
        <w:spacing w:line="360" w:lineRule="auto"/>
        <w:ind w:firstLine="709"/>
      </w:pPr>
      <w:r>
        <w:t>— в подготовительный период (март-июль 2026) денежный поток отрицательный за счёт инвестиций в оборудование и подготовку производства;</w:t>
      </w:r>
    </w:p>
    <w:p>
      <w:pPr>
        <w:spacing w:line="360" w:lineRule="auto"/>
        <w:ind w:firstLine="709"/>
      </w:pPr>
      <w:r>
        <w:t>— с августа 2026 года начинаются поступления от продаж, однако в первые месяцы они не полностью покрывают совокупные расходы (операционные + обслуживание кредита);</w:t>
      </w:r>
    </w:p>
    <w:p>
      <w:pPr>
        <w:spacing w:line="360" w:lineRule="auto"/>
        <w:ind w:firstLine="709"/>
      </w:pPr>
      <w:r>
        <w:t>— начиная с весны 2027 года (с выходом на объём 1 500+ м2/мес) кэш-фло от операционной деятельности становится устойчиво положительным;</w:t>
      </w:r>
    </w:p>
    <w:p>
      <w:pPr>
        <w:spacing w:line="360" w:lineRule="auto"/>
        <w:ind w:firstLine="709"/>
      </w:pPr>
      <w:r>
        <w:t>— ежемесячные выплаты по кредиту (проценты ~42 тыс. руб/мес в первый год; тело + проценты ~180-200 тыс. руб/мес со второго года) создают стабильный отток по финансовой деятельности;</w:t>
      </w:r>
    </w:p>
    <w:p>
      <w:pPr>
        <w:spacing w:line="360" w:lineRule="auto"/>
        <w:ind w:firstLine="709"/>
      </w:pPr>
      <w:r>
        <w:t>— баланс наличности на конец периода остаётся положительным на протяжении всего проекта, что подтверждает достаточность ликвидности [5].</w:t>
      </w:r>
    </w:p>
    <w:p>
      <w:pPr>
        <w:spacing w:line="360" w:lineRule="auto"/>
        <w:ind w:firstLine="709"/>
      </w:pPr>
      <w:r>
        <w:t>Показатели эффективности инвестиций. Итоговые интегральные показатели рассчитываются программой автоматически в модуле «Анализ — Эффективность инвестиций» (рисунок 3.12). Результаты расчёта представлены в таблице 3.9.</w:t>
      </w:r>
    </w:p>
    <w:p>
      <w:pPr>
        <w:ind w:firstLine="0"/>
        <w:jc w:val="center"/>
      </w:pPr>
      <w:r>
        <w:rPr>
          <w:i/>
          <w:sz w:val="24"/>
        </w:rPr>
        <w:t>Рисунок 3.12 — Окно «Эффективность инвестиций» в Project Expert</w:t>
      </w:r>
    </w:p>
    <w:p>
      <w:pPr>
        <w:ind w:firstLine="0"/>
        <w:jc w:val="center"/>
      </w:pPr>
      <w:r>
        <w:rPr>
          <w:sz w:val="24"/>
        </w:rPr>
        <w:t>Таблица 3.9 — Показатели эффективности инвестиционного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Критерий приемлемости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Вывод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Ставка дисконтирования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Период окупаемости (PB)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&gt; 36 мес.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&lt; горизонт проекта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Не достигается за 36 мес.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Дисконтированный период (DPB)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&gt; 36 мес.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&lt; горизонт проекта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Не достигается за 36 мес.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Чистый приведённый доход (NPV)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-5 570 029 руб.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&gt; 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Отрицательный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Индекс прибыльности (PI)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0,30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&gt;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Ниже порога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Внутренняя норма рентабельности (IRR)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0,00%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&gt; ставки дисконт.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Не превышает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Средняя норма рентабельности (ARR)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13,10%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&gt; ставки дисконт.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Ниже 16%</w:t>
            </w:r>
          </w:p>
        </w:tc>
      </w:tr>
    </w:tbl>
    <w:p/>
    <w:p>
      <w:pPr>
        <w:spacing w:line="360" w:lineRule="auto"/>
        <w:ind w:firstLine="709"/>
      </w:pPr>
      <w:r>
        <w:t>Интерпретация результатов. Полученные показатели свидетельствуют о том, что в рамках принятого горизонта планирования (36 месяцев) проект не достигает окупаемости вложенного капитала. NPV = -5 570 029 руб. означает, что дисконтированные денежные притоки за 3 года не покрывают первоначальных инвестиций с учётом стоимости капитала 16% [5]. Индекс прибыльности PI = 0,30 показывает, что на каждый вложенный рубль за горизонт проекта возвращается 30 копеек дисконтированного дохода.</w:t>
      </w:r>
    </w:p>
    <w:p>
      <w:pPr>
        <w:spacing w:line="360" w:lineRule="auto"/>
        <w:ind w:firstLine="709"/>
      </w:pPr>
      <w:r>
        <w:t>Вместе с тем необходимо учитывать ряд существенных факторов:</w:t>
      </w:r>
    </w:p>
    <w:p>
      <w:pPr>
        <w:spacing w:line="360" w:lineRule="auto"/>
        <w:ind w:firstLine="709"/>
      </w:pPr>
      <w:r>
        <w:t>1) Горизонт 36 месяцев является ограниченным для производственного предприятия. Оборудование имеет срок полезного использования 7-10 лет; клиентская база, сформированная за первые 3 года, продолжит генерировать выручку в последующие периоды. При удлинении горизонта до 5-7 лет показатели значительно улучшаются.</w:t>
      </w:r>
    </w:p>
    <w:p>
      <w:pPr>
        <w:spacing w:line="360" w:lineRule="auto"/>
        <w:ind w:firstLine="709"/>
      </w:pPr>
      <w:r>
        <w:t>2) Проект выходит на операционную прибыль со второго года (~4,5 млн руб/год). Это означает, что бизнес-модель жизнеспособна; проблема окупаемости обусловлена высокой кредитной нагрузкой и коротким горизонтом расчёта.</w:t>
      </w:r>
    </w:p>
    <w:p>
      <w:pPr>
        <w:spacing w:line="360" w:lineRule="auto"/>
        <w:ind w:firstLine="709"/>
      </w:pPr>
      <w:r>
        <w:t>3) Баланс наличности остаётся положительным весь период — предприятие не испытывает дефицита ликвидности и способно обслуживать обязательства [5].</w:t>
      </w:r>
    </w:p>
    <w:p>
      <w:pPr>
        <w:spacing w:line="360" w:lineRule="auto"/>
        <w:ind w:firstLine="709"/>
      </w:pPr>
      <w:r>
        <w:t>4) ARR = 13,10% близка к ставке дисконтирования (16%), что говорит о пограничной рентабельности проекта в базовом сценарии.</w:t>
      </w:r>
    </w:p>
    <w:p>
      <w:pPr>
        <w:spacing w:line="360" w:lineRule="auto"/>
        <w:ind w:firstLine="709"/>
      </w:pPr>
      <w:r>
        <w:t>Анализ денежного потока. Для наглядной оценки динамики проекта на рисунке 3.13 представлен график накопленного денежного потока.</w:t>
      </w:r>
    </w:p>
    <w:p>
      <w:pPr>
        <w:ind w:firstLine="0"/>
        <w:jc w:val="center"/>
      </w:pPr>
      <w:r>
        <w:rPr>
          <w:i/>
          <w:sz w:val="24"/>
        </w:rPr>
        <w:t>Рисунок 3.13 — График накопленного денежного потока проекта</w:t>
      </w:r>
    </w:p>
    <w:p>
      <w:pPr>
        <w:spacing w:line="360" w:lineRule="auto"/>
        <w:ind w:firstLine="709"/>
      </w:pPr>
      <w:r>
        <w:t>Как следует из графика, проект генерирует положительный операционный поток начиная со второго года, однако накопленный дисконтированный поток не выходит в положительную зону за 36 месяцев. Для достижения окупаемости необходимо либо увеличение горизонта планирования, либо повышение объёмов продаж, либо снижение кредитной нагрузки. Анализ чувствительности проекта к изменению ключевых параметров выполняется в параграфе 3.5.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