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ind w:firstLine="0"/>
      </w:pPr>
      <w:r>
        <w:rPr>
          <w:b/>
          <w:sz w:val="28"/>
        </w:rPr>
        <w:t>2.4. Производственная программа предприятия</w:t>
      </w:r>
    </w:p>
    <w:p/>
    <w:p>
      <w:pPr>
        <w:spacing w:line="360" w:lineRule="auto"/>
        <w:ind w:firstLine="709"/>
      </w:pPr>
      <w:r>
        <w:t>Производственная программа определяет планируемые объёмы выпуска продукции по периодам реализации проекта и является основой для расчёта потребности в сырье, персонале, производственных площадях, а также для формирования финансовой модели в программе Project Expert. При разработке производственной программы учитываются: паспортная производительность оборудования, принятый режим работы, коэффициент использования оборудования, сезонность спроса и поэтапный характер выхода предприятия на проектную мощность [5].</w:t>
      </w:r>
    </w:p>
    <w:p>
      <w:pPr>
        <w:spacing w:line="360" w:lineRule="auto"/>
        <w:ind w:firstLine="709"/>
      </w:pPr>
      <w:r>
        <w:t>Исходные данные для расчёта производственной мощности предприятия приведены в таблице 2.10.</w:t>
      </w:r>
    </w:p>
    <w:p>
      <w:pPr>
        <w:ind w:firstLine="0"/>
        <w:jc w:val="center"/>
      </w:pPr>
      <w:r>
        <w:rPr>
          <w:sz w:val="24"/>
        </w:rPr>
        <w:t>Таблица 2.10 - Исходные данные для расчёта производственной мощности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Значение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  <w:sz w:val="20"/>
              </w:rPr>
              <w:t>Обоснование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Паспортная производительность вибропресса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9 м2/ч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Паспорт Рифей-Кондор [28]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Режим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1 смена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Малое предприятие, 6-8 чел.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Продолжительность смены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8 часов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ТК РФ, ст. 91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Количество рабочих дней в году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250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Производственный календарь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Годовой фонд времени работы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2 000 часов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8 x 250 = 2 000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Коэффициент использования (КИО)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0,60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Переналадки, ТО, брак</w:t>
            </w:r>
          </w:p>
        </w:tc>
      </w:tr>
      <w:tr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Эффективная годовая мощность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10 800 м2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sz w:val="20"/>
              </w:rPr>
              <w:t>9 x 2000 x 0,60</w:t>
            </w:r>
          </w:p>
        </w:tc>
      </w:tr>
    </w:tbl>
    <w:p/>
    <w:p>
      <w:pPr>
        <w:spacing w:line="360" w:lineRule="auto"/>
        <w:ind w:firstLine="709"/>
      </w:pPr>
      <w:r>
        <w:t>Коэффициент использования оборудования принят равным 0,60, что является консервативной оценкой для малого предприятия. Данный коэффициент учитывает: переналадку матриц при смене вида продукции (2-4 раза в смену по 15-20 минут); плановое техническое обслуживание вибропресса и смесителя (1-2 часа в неделю); технологические простои, связанные с ожиданием замеса и подачей поддонов; потери на брак (2-3 процента); внеплановые остановки по организационным причинам [5].</w:t>
      </w:r>
    </w:p>
    <w:p>
      <w:pPr>
        <w:spacing w:line="360" w:lineRule="auto"/>
        <w:ind w:firstLine="709"/>
      </w:pPr>
      <w:r>
        <w:t>Проект предусматривает поэтапный выход на проектную мощность. Старт производства запланирован на август 2026 года; первые отгрузки — с сентября 2026 года. Динамика загрузки по годам представлена в таблице 2.11.</w:t>
      </w:r>
    </w:p>
    <w:p>
      <w:pPr>
        <w:ind w:firstLine="0"/>
        <w:jc w:val="center"/>
      </w:pPr>
      <w:r>
        <w:rPr>
          <w:sz w:val="24"/>
        </w:rPr>
        <w:t>Таблица 2.11 - Производственная программа по годам реализации проекта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Показатель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Год 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Период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сент.2026 - авг.2027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сент.2027 - авг.2028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сент.2028 - авг.2029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Средняя загрузка,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Объём выпуска,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3 200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7 000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9 000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Объём бетона, м3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192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Среднемесячный выпуск,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583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750</w:t>
            </w:r>
          </w:p>
        </w:tc>
      </w:tr>
    </w:tbl>
    <w:p/>
    <w:p>
      <w:pPr>
        <w:spacing w:line="360" w:lineRule="auto"/>
        <w:ind w:firstLine="709"/>
      </w:pPr>
      <w:r>
        <w:t>В первый год объём выпуска составляет 3 200 м2. Невысокая загрузка (30 процентов) объясняется тем, что предприятие находится на стадии формирования клиентской базы и налаживания каналов сбыта; операторы проходят период освоения оборудования; необходимо время для накопления запаса готовой продукции; сезонность спроса ограничивает продажи в зимние месяцы первого года [10].</w:t>
      </w:r>
    </w:p>
    <w:p>
      <w:pPr>
        <w:spacing w:line="360" w:lineRule="auto"/>
        <w:ind w:firstLine="709"/>
      </w:pPr>
      <w:r>
        <w:t>Во второй год загрузка возрастает до 65 процентов (7 000 м2) за счёт перехода части клиентов в категорию постоянных заказчиков и расширения каналов сбыта. В третий год предприятие выходит на загрузку 83 процента (9 000 м2) — рабочий оптимум, оставляющий резерв на внеплановые заказы и обслуживание оборудования.</w:t>
      </w:r>
    </w:p>
    <w:p>
      <w:pPr>
        <w:spacing w:line="360" w:lineRule="auto"/>
        <w:ind w:firstLine="709"/>
      </w:pPr>
      <w:r>
        <w:t>Распределение программы по видам продукции основано на структуре ассортимента (таблица 2.1). Развёрнутая программа представлена в таблице 2.12.</w:t>
      </w:r>
    </w:p>
    <w:p>
      <w:pPr>
        <w:ind w:firstLine="0"/>
        <w:jc w:val="center"/>
      </w:pPr>
      <w:r>
        <w:rPr>
          <w:sz w:val="24"/>
        </w:rPr>
        <w:t>Таблица 2.12 - Производственная программа по видам продукции, м2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Вид продукции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Доля, %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1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2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b/>
                <w:sz w:val="20"/>
              </w:rPr>
              <w:t>Год 3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Брусчатка 200x100x60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1 120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2 450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3 150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Квадрат 300x300x60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800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1 750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2 250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Квадрат 300x300x40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480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1 050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1 350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Шестигранник 215x240x60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Волна 222x110x70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900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Газонная решётка 600x400x100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5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350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450</w:t>
            </w:r>
          </w:p>
        </w:tc>
      </w:tr>
      <w:tr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ИТОГО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3 200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7 000</w:t>
            </w:r>
          </w:p>
        </w:tc>
        <w:tc>
          <w:tcPr>
            <w:tcW w:type="dxa" w:w="1728"/>
          </w:tcPr>
          <w:p>
            <w:pPr>
              <w:jc w:val="center"/>
            </w:pPr>
            <w:r>
              <w:rPr>
                <w:sz w:val="20"/>
              </w:rPr>
              <w:t>9 000</w:t>
            </w:r>
          </w:p>
        </w:tc>
      </w:tr>
    </w:tbl>
    <w:p/>
    <w:p>
      <w:pPr>
        <w:spacing w:line="360" w:lineRule="auto"/>
        <w:ind w:firstLine="709"/>
      </w:pPr>
      <w:r>
        <w:t>Помесячная производственная программа первого года, учитывающая нарастание загрузки и сезонный фактор, представлена в таблице 2.13.</w:t>
      </w:r>
    </w:p>
    <w:p>
      <w:pPr>
        <w:ind w:firstLine="0"/>
        <w:jc w:val="center"/>
      </w:pPr>
      <w:r>
        <w:rPr>
          <w:sz w:val="24"/>
        </w:rPr>
        <w:t>Таблица 2.13 - Помесячная производственная программа первого года, м2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Месяц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Загрузка, 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Выпуск, м2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sz w:val="20"/>
              </w:rPr>
              <w:t>Нарастающий итог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Сентябрь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Октябрь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Ноябрь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Декабрь 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560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Январь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680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Февраль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840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Март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1 080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Апрель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1 400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Май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1 800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Июнь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2 240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Июль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440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2 680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Август 2027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520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20"/>
              </w:rPr>
              <w:t>3 200</w:t>
            </w:r>
          </w:p>
        </w:tc>
      </w:tr>
    </w:tbl>
    <w:p/>
    <w:p>
      <w:pPr>
        <w:spacing w:line="360" w:lineRule="auto"/>
        <w:ind w:firstLine="709"/>
      </w:pPr>
      <w:r>
        <w:t>В первые месяцы (сентябрь-декабрь 2026) загрузка составляет 15-20 процентов — это этап пусконаладки, отработки технологии и формирования первых заказов. С марта 2027 года загрузка возрастает в связи с наступлением строительного сезона. К концу первого года предприятие выходит на уровень 55 процентов, формируя базу для перехода ко второму году.</w:t>
      </w:r>
    </w:p>
    <w:p>
      <w:pPr>
        <w:spacing w:line="360" w:lineRule="auto"/>
        <w:ind w:firstLine="709"/>
      </w:pPr>
      <w:r>
        <w:t>Сезонность спроса на тротуарную плитку является существенным фактором планирования. Основной объём работ по мощению выполняется в период апрель-октябрь; в зимние месяцы спрос снижается на 40-60 процентов [10]. Для сглаживания колебаний предприятие применяет стратегию «производства на склад» в зимний период: типовые позиции (брусчатка, квадрат 60 мм) изготавливаются круглогодично, а накопленный запас реализуется в весенний пик спроса. Это позволяет поддерживать относительно равномерную загрузку оборудования и персонала.</w:t>
      </w:r>
    </w:p>
    <w:p>
      <w:pPr>
        <w:spacing w:line="360" w:lineRule="auto"/>
        <w:ind w:firstLine="709"/>
      </w:pPr>
      <w:r>
        <w:t>Таким образом, производственная программа предусматривает поэтапный выход на проектную мощность в течение трёх лет: от 3 200 м2 в первом году до 9 000 м2 в третьем (83 процента от эффективной мощности). Помесячная детализация учитывает сезонный характер спроса и постепенное формирование клиентской базы. Расчёт потребности в ресурсах для реализации данной программы выполняется в параграфе 2.5.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