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b/>
          <w:sz w:val="28"/>
        </w:rPr>
        <w:t>2.4. Производственная программа предприятия</w:t>
      </w:r>
    </w:p>
    <w:p/>
    <w:p>
      <w:pPr>
        <w:spacing w:line="360" w:lineRule="auto"/>
        <w:ind w:firstLine="709"/>
      </w:pPr>
      <w:r>
        <w:t>Производственная программа определяет планируемые объёмы выпуска и является основой для расчёта потребности в ресурсах и финансовой модели в Project Expert [5].</w:t>
      </w:r>
    </w:p>
    <w:p>
      <w:pPr>
        <w:ind w:firstLine="0"/>
        <w:jc w:val="center"/>
      </w:pPr>
      <w:r>
        <w:rPr>
          <w:sz w:val="24"/>
        </w:rPr>
        <w:t>Таблица 2.10 - Исходные данные для расчёта мощности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Производительность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9 м2/ч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Паспорт Кондор [28]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Режим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 смена, 8 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ТК РФ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Рабочих дней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Произв. календарь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Фонд времени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2 000 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8x250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КИО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0,60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Переналадки, ТО, брак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Эфф. мощность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10 800 м2/год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9x2000x0,60</w:t>
            </w:r>
          </w:p>
        </w:tc>
      </w:tr>
    </w:tbl>
    <w:p/>
    <w:p>
      <w:pPr>
        <w:spacing w:line="360" w:lineRule="auto"/>
        <w:ind w:firstLine="709"/>
      </w:pPr>
      <w:r>
        <w:t>Старт проекта — 01.03.2026. Первые поставки клиентам — с 19.08.2026 (данные Project Expert). Динамика загрузки по годам:</w:t>
      </w:r>
    </w:p>
    <w:p>
      <w:pPr>
        <w:ind w:firstLine="0"/>
        <w:jc w:val="center"/>
      </w:pPr>
      <w:r>
        <w:rPr>
          <w:sz w:val="24"/>
        </w:rPr>
        <w:t>Таблица 2.11 - Производственная программа по годам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Год 1 (авг.2026-февр.2027)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Год 2 (март 2027-февр.2028)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Год 3 (март 2028-февр.2029)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Период продаж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 месяцев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 месяцев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 месяцев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Среднемес. объём, м2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750-1 500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1 500-2 300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1 500-2 300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Объём за период, м2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~7 500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~22 000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~22 000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Загрузка, 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~100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~100</w:t>
            </w:r>
          </w:p>
        </w:tc>
      </w:tr>
    </w:tbl>
    <w:p/>
    <w:p>
      <w:pPr>
        <w:spacing w:line="360" w:lineRule="auto"/>
        <w:ind w:firstLine="709"/>
      </w:pPr>
      <w:r>
        <w:t>В первый год (7 месяцев продаж) объём составляет ~7 500 м2 с нарастанием от 750 до 1 500 м2/мес. Со второго года предприятие выходит на полную загрузку (~1 500-2 300 м2/мес).</w:t>
      </w:r>
    </w:p>
    <w:p>
      <w:pPr>
        <w:spacing w:line="360" w:lineRule="auto"/>
        <w:ind w:firstLine="709"/>
      </w:pPr>
      <w:r>
        <w:t>Ассортимент — шесть позиций. Себестоимость и цены (из PE):</w:t>
      </w:r>
    </w:p>
    <w:p>
      <w:pPr>
        <w:ind w:firstLine="0"/>
        <w:jc w:val="center"/>
      </w:pPr>
      <w:r>
        <w:rPr>
          <w:sz w:val="24"/>
        </w:rPr>
        <w:t>Таблица 2.12 - Себестоимость и цена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Вид продукции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Прямые издержки, руб/м2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Цена, руб/м2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Маржа, руб/м2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Квадратная 300x300x40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550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Квадратная 300x300x60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1 150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550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Прямоугольная 200x100x60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1 050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450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Шестигранная 215x240x60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1 250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650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Волна 222x109.5x70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1 150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450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Газонная решётка 600x400x100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1 600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800</w:t>
            </w:r>
          </w:p>
        </w:tc>
      </w:tr>
    </w:tbl>
    <w:p/>
    <w:p>
      <w:pPr>
        <w:spacing w:line="360" w:lineRule="auto"/>
        <w:ind w:firstLine="709"/>
      </w:pPr>
      <w:r>
        <w:t>Маржа варьируется от 450 до 800 руб/м2. Средневзвешенная ~520-550 руб/м2.</w:t>
      </w:r>
    </w:p>
    <w:p>
      <w:pPr>
        <w:spacing w:line="360" w:lineRule="auto"/>
        <w:ind w:firstLine="709"/>
      </w:pPr>
      <w:r>
        <w:t>Постоянные расходы предприятия (из PE, ежемесячно): аренда цеха и склада — 90 000 руб.; электроэнергия, вода и ТБО — 60 000 руб.; интернет, связь, канцелярия — 10 000 руб.; техобслуживание оборудования — 30 000 руб.; реклама и продвижение — 25 000 руб.; ФОТ персонала — 360 000 руб. Итого постоянные расходы — 575 000 руб/мес.</w:t>
      </w:r>
    </w:p>
    <w:p>
      <w:pPr>
        <w:spacing w:line="360" w:lineRule="auto"/>
        <w:ind w:firstLine="709"/>
      </w:pPr>
      <w:r>
        <w:t>При средневзвешенной марже ~530 руб/м2 точка безубыточности по объёму составляет: 575 000 / 530 = ~1 085 м2/мес. Данный порог достигается уже в первые месяцы продаж (объём продаж от 750 м2/мес с быстрым нарастанием до 1 500 м2/мес), что подтверждает реализуемость проекта.</w:t>
      </w:r>
    </w:p>
    <w:p>
      <w:pPr>
        <w:spacing w:line="360" w:lineRule="auto"/>
        <w:ind w:firstLine="709"/>
      </w:pPr>
      <w:r>
        <w:t>Сезонность спроса (пик апрель-октябрь, спад зимой на 40-60%) учтена в PE через опцию «Сезонность» [10]. Для сглаживания колебаний применяется стратегия «производства на склад» в зимний период.</w:t>
      </w:r>
    </w:p>
    <w:p>
      <w:pPr>
        <w:spacing w:line="360" w:lineRule="auto"/>
        <w:ind w:firstLine="709"/>
      </w:pPr>
      <w:r>
        <w:t>Таким образом, производственная программа предусматривает выход на полную мощность ко второму году при объёмах 1 500-2 300 м2/мес. Шесть видов продукции с маржинальностью 450-800 руб/м2 обеспечивают диверсификацию выручки. Расчёт потребности в ресурсах — в параграфе 2.5.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