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b/>
          <w:sz w:val="28"/>
        </w:rPr>
        <w:t>2.5. Потребность в сырье, материалах, персонале и производственных площадях</w:t>
      </w:r>
    </w:p>
    <w:p/>
    <w:p>
      <w:pPr>
        <w:spacing w:line="360" w:lineRule="auto"/>
        <w:ind w:firstLine="709"/>
      </w:pPr>
      <w:r>
        <w:t>Расчёт потребности в ресурсах выполняется на основании производственной программы (параграф 2.4), состава бетонной смеси (параграф 2.2, таблица 2.5) и принятой организационной модели предприятия.</w:t>
      </w:r>
    </w:p>
    <w:p>
      <w:pPr>
        <w:spacing w:line="360" w:lineRule="auto"/>
        <w:ind w:firstLine="709"/>
      </w:pPr>
      <w:r>
        <w:t>Потребность в сырье и материалах. Средневзвешенная толщина выпускаемой продукции составляет около 63 мм; для укрупнённого расчёта принят расход бетонной смеси 0,06 м3 на 1 м2 плитки. Удельные нормы расхода на 1 м2 представлены в таблице 2.14.</w:t>
      </w:r>
    </w:p>
    <w:p>
      <w:pPr>
        <w:ind w:firstLine="0"/>
        <w:jc w:val="center"/>
      </w:pPr>
      <w:r>
        <w:rPr>
          <w:sz w:val="24"/>
        </w:rPr>
        <w:t>Таблица 2.14 - Удельный расход сырья на 1 м2 тротуарной плитки (толщ. 60 мм)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Расход на 1 м3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Расход на 1 м2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Стоимость на 1 м2, руб.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Цемент М500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380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22,8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7,5 руб/кг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171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Песок кварцевый [29]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750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45,0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1,2 руб/кг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Щебень гранитный [30]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650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39,0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2,0 руб/кг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Вода [23]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140 л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8,4 л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0,05 руб/л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Пластификатор [25]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2,7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0,16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 руб/кг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Пигмент (средневзвеш.)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0,36 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150 руб/кг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Поддон (амортизация)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ИТОГО материалы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~375</w:t>
            </w:r>
          </w:p>
        </w:tc>
      </w:tr>
    </w:tbl>
    <w:p/>
    <w:p>
      <w:pPr>
        <w:spacing w:line="360" w:lineRule="auto"/>
        <w:ind w:firstLine="709"/>
      </w:pPr>
      <w:r>
        <w:t>Переменная материальная составляющая себестоимости 1 м2 плитки составляет около 375 рублей. С учётом технологических потерь (2-3%), электроэнергии (~30 руб/м2) и прочих прямых расходов общие переменные издержки находятся в диапазоне 400-800 руб/м2, что соответствует значениям в Project Expert [20], [23].</w:t>
      </w:r>
    </w:p>
    <w:p>
      <w:pPr>
        <w:spacing w:line="360" w:lineRule="auto"/>
        <w:ind w:firstLine="709"/>
      </w:pPr>
      <w:r>
        <w:t>Годовая потребность в сырье по периодам проекта (объём продаж: год 1 — ~7 500 м2 за 7 мес.; год 2 и 3 — ~22 000 м2/год) представлена в таблице 2.15.</w:t>
      </w:r>
    </w:p>
    <w:p>
      <w:pPr>
        <w:ind w:firstLine="0"/>
        <w:jc w:val="center"/>
      </w:pPr>
      <w:r>
        <w:rPr>
          <w:sz w:val="24"/>
        </w:rPr>
        <w:t>Таблица 2.15 - Годовая потребность в сырье и материалах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Сырьё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Ед.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Год 1 (7 мес.)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Год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Год 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Цемент М500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тонн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Песок кварцевый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тонн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990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Щебень гранитный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тонн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858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Вода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м3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Пластификатор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1 200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3 520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3 520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Пигмент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кг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2 700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7 920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7 920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Стоимость сырья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млн руб.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~2,8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~8,3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~8,3</w:t>
            </w:r>
          </w:p>
        </w:tc>
      </w:tr>
    </w:tbl>
    <w:p/>
    <w:p>
      <w:pPr>
        <w:spacing w:line="360" w:lineRule="auto"/>
        <w:ind w:firstLine="709"/>
      </w:pPr>
      <w:r>
        <w:t>Основные поставщики: цемент — заводы Рязанской и Тульской областей (доставка 80-150 км); песок и щебень — карьеры Рязанской области [29], [30]. Страховой запас сырья на 2-3 недели снижает риск простоев [4].</w:t>
      </w:r>
    </w:p>
    <w:p>
      <w:pPr>
        <w:spacing w:line="360" w:lineRule="auto"/>
        <w:ind w:firstLine="709"/>
      </w:pPr>
      <w:r>
        <w:t>Потребность в персонале. Штатное расписание (из Project Expert) представлено в таблице 2.16.</w:t>
      </w:r>
    </w:p>
    <w:p>
      <w:pPr>
        <w:ind w:firstLine="0"/>
        <w:jc w:val="center"/>
      </w:pPr>
      <w:r>
        <w:rPr>
          <w:sz w:val="24"/>
        </w:rPr>
        <w:t>Таблица 2.16 - Штатное расписание и фонд оплаты труда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Должность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Оклад, руб/мес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ФОТ, руб/мес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Директор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Управление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80 000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80 000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Бухгалтер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Управление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50 000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50 000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Инженер-технолог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Производство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Оператор линии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Производство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Разнорабочий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Производство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50 000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50 000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Менеджер по продажам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Маркетинг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ИТОГО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360 000</w:t>
            </w:r>
          </w:p>
        </w:tc>
      </w:tr>
    </w:tbl>
    <w:p/>
    <w:p>
      <w:pPr>
        <w:spacing w:line="360" w:lineRule="auto"/>
        <w:ind w:firstLine="709"/>
      </w:pPr>
      <w:r>
        <w:t>ФОТ — 360 000 руб/мес. С учётом страховых взносов (30,2%) расходы на персонал составляют ~469 000 руб/мес [18]. Директор осуществляет общее руководство; бухгалтер ведёт учёт по УСН; инженер-технолог отвечает за рецептуры и контроль качества; оператор управляет вибропрессом и смесителем; разнорабочий — погрузка и перемещение поддонов; менеджер — продажи и работа с клиентами [3].</w:t>
      </w:r>
    </w:p>
    <w:p>
      <w:pPr>
        <w:spacing w:line="360" w:lineRule="auto"/>
        <w:ind w:firstLine="709"/>
      </w:pPr>
      <w:r>
        <w:t>Потребность в площадях. Расчёт представлен в таблице 2.17.</w:t>
      </w:r>
    </w:p>
    <w:p>
      <w:pPr>
        <w:ind w:firstLine="0"/>
        <w:jc w:val="center"/>
      </w:pPr>
      <w:r>
        <w:rPr>
          <w:sz w:val="24"/>
        </w:rPr>
        <w:t>Таблица 2.17 - Потребность в производственных площадях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Площадь, м2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Требования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Цех (вибропресс, смеситель, конвейер)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200-250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Высота &gt;=4 м, 380В, вентиляция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Зона выдержки (стеллажи)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80-100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Температура &gt;=+15C, крытая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Склад сырья (цемент, добавки)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50-80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Крытое, защита от влаги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Площадка (песок, щебень)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100-150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Открытая, с разделением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Склад готовой продукции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200-300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Открытая площадка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Офис, бытовые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20-30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Отопление, санузел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ИТОГО крытые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350-460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ИТОГО с открытыми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650-910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spacing w:line="360" w:lineRule="auto"/>
        <w:ind w:firstLine="709"/>
      </w:pPr>
      <w:r>
        <w:t>Принято решение об аренде помещения ~400 м2 (крытые) и открытой площадки ~300 м2. Арендная плата — 90 000 руб/мес, что соответствует ставке ~225 руб/м2 для промышленных объектов в Рязанской области [21].</w:t>
      </w:r>
    </w:p>
    <w:p>
      <w:pPr>
        <w:spacing w:line="360" w:lineRule="auto"/>
        <w:ind w:firstLine="709"/>
      </w:pPr>
      <w:r>
        <w:t>Сводная структура ежемесячных постоянных расходов (из Project Expert):</w:t>
      </w:r>
    </w:p>
    <w:p>
      <w:pPr>
        <w:ind w:firstLine="0"/>
        <w:jc w:val="center"/>
      </w:pPr>
      <w:r>
        <w:rPr>
          <w:sz w:val="24"/>
        </w:rPr>
        <w:t>Таблица 2.18 - Структура ежемесячных постоянных расходов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Сумма, руб/мес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Доля, 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ФОТ персонала (6 чел.)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360 000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Аренда цеха и склада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90 000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Электроэнергия, вода, ТБО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60 000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Техобслуживание оборудования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30 000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Реклама и продвижение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25 000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Интернет, связь, канцелярия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10 000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ИТОГО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575 000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</w:tr>
    </w:tbl>
    <w:p/>
    <w:p>
      <w:pPr>
        <w:spacing w:line="360" w:lineRule="auto"/>
        <w:ind w:firstLine="709"/>
      </w:pPr>
      <w:r>
        <w:t>Основная доля постоянных расходов (63%) — ФОТ, что характерно для малого производства. Совокупные постоянные расходы 575 000 руб/мес определяют порог безубыточности предприятия [5]. Организационная структура и каналы сбыта рассматриваются в параграфе 2.6.</w:t>
      </w:r>
    </w:p>
    <w:p/>
    <w:p>
      <w:pPr>
        <w:ind w:firstLine="0"/>
      </w:pPr>
      <w:r>
        <w:rPr>
          <w:b/>
          <w:sz w:val="24"/>
        </w:rPr>
        <w:t>НОВЫЕ ИСТОЧНИКИ (добавить в список литературы):</w:t>
      </w:r>
    </w:p>
    <w:p>
      <w:pPr>
        <w:spacing w:line="240" w:lineRule="auto"/>
        <w:ind w:firstLine="0"/>
      </w:pPr>
      <w:r>
        <w:t>[29] ГОСТ 8736-2014. Песок для строительных работ. Технические условия. - Введ. 2015-04-01. - М.: Стандартинформ, 2015. - 20 с.</w:t>
      </w:r>
    </w:p>
    <w:p>
      <w:pPr>
        <w:spacing w:line="240" w:lineRule="auto"/>
        <w:ind w:firstLine="0"/>
      </w:pPr>
      <w:r>
        <w:t>[30] ГОСТ 8267-93. Щебень и гравий из плотных горных пород для строительных работ. Технические условия. - Введ. 1995-01-01. - М.: Издательство стандартов, 1994. - 24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