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  <w:r>
        <w:rPr>
          <w:b/>
          <w:sz w:val="28"/>
        </w:rPr>
        <w:t>Глава 3. Финансово-экономическое обоснование проекта в программе Project Expert</w:t>
      </w:r>
    </w:p>
    <w:p/>
    <w:p>
      <w:pPr>
        <w:ind w:firstLine="0"/>
      </w:pPr>
      <w:r>
        <w:rPr>
          <w:b/>
          <w:sz w:val="28"/>
        </w:rPr>
        <w:t>3.1. Формирование исходных данных для моделирования проекта</w:t>
      </w:r>
    </w:p>
    <w:p/>
    <w:p>
      <w:pPr>
        <w:spacing w:line="360" w:lineRule="auto"/>
        <w:ind w:firstLine="709"/>
      </w:pPr>
      <w:r>
        <w:t>Финансово-экономическое обоснование проекта выполняется с использованием специализированной программы инвестиционного анализа Project Expert, возможности которой обоснованы в параграфе 1.5 настоящей работы [16]. Программа позволяет сформировать целостную финансовую модель предприятия, включающую инвестиционный план, операционную деятельность, систему финансирования и аналитические отчёты [14].</w:t>
      </w:r>
    </w:p>
    <w:p>
      <w:pPr>
        <w:spacing w:line="360" w:lineRule="auto"/>
        <w:ind w:firstLine="709"/>
      </w:pPr>
      <w:r>
        <w:t>Моделирование начинается с задания общих параметров проекта в модуле «Проект - Заголовок». В данном модуле указываются: наименование проекта - «Производство тротуарной плитки»; дата начала - 01.03.2026; длительность - 36 месяцев (до 28.02.2029); валюта - российский рубль. Период 36 месяцев выбран как типичный горизонт для малого производственного предприятия [5].</w:t>
      </w:r>
    </w:p>
    <w:p>
      <w:pPr>
        <w:ind w:firstLine="0"/>
        <w:jc w:val="center"/>
      </w:pPr>
      <w:r>
        <w:rPr>
          <w:i/>
          <w:sz w:val="24"/>
        </w:rPr>
        <w:t>[СКРИНШОТ 1 - Модуль «Проект - Заголовок»: название, даты начала/окончания]</w:t>
      </w:r>
    </w:p>
    <w:p>
      <w:pPr>
        <w:spacing w:line="360" w:lineRule="auto"/>
        <w:ind w:firstLine="709"/>
      </w:pPr>
      <w:r>
        <w:t>В модуле «Список продуктов» задаётся номенклатура. Введены шесть позиций (параграф 2.1, таблица 2.1): квадратная плитка 300x300x40; квадратная плитка 300x300x60; прямоугольная плитка 200x100x60; шестигранная плитка 215x240x60; фигурная плитка (волна) 222x109.5x70; газонная решётка 600x400x100. Единица измерения - м2; производственный цикл - 2 дня. Дата начала продаж - 19.08.2026.</w:t>
      </w:r>
    </w:p>
    <w:p>
      <w:pPr>
        <w:ind w:firstLine="0"/>
        <w:jc w:val="center"/>
      </w:pPr>
      <w:r>
        <w:rPr>
          <w:i/>
          <w:sz w:val="24"/>
        </w:rPr>
        <w:t>[СКРИНШОТ 2 - Модуль «Список продуктов»: 6 видов плитки, ед. изм., дата продаж]</w:t>
      </w:r>
    </w:p>
    <w:p>
      <w:pPr>
        <w:spacing w:line="360" w:lineRule="auto"/>
        <w:ind w:firstLine="709"/>
      </w:pPr>
      <w:r>
        <w:t>Далее настраивается макроэкономическое окружение в разделе «Окружение».</w:t>
      </w:r>
    </w:p>
    <w:p>
      <w:pPr>
        <w:spacing w:line="360" w:lineRule="auto"/>
        <w:ind w:firstLine="709"/>
      </w:pPr>
      <w:r>
        <w:t>В модуле «Валюта» основная расчётная единица - российский рубль.</w:t>
      </w:r>
    </w:p>
    <w:p>
      <w:pPr>
        <w:spacing w:line="360" w:lineRule="auto"/>
        <w:ind w:firstLine="709"/>
      </w:pPr>
      <w:r>
        <w:t>В модуле «Учётная ставка» задана ставка дисконтирования 16 процентов годовых. Обоснование: ключевая ставка ЦБ РФ в I квартале 2026 года - 15-16%; надбавка за риск малого бизнеса - 0-2 п.п.; итого 16% [5].</w:t>
      </w:r>
    </w:p>
    <w:p>
      <w:pPr>
        <w:ind w:firstLine="0"/>
        <w:jc w:val="center"/>
      </w:pPr>
      <w:r>
        <w:rPr>
          <w:i/>
          <w:sz w:val="24"/>
        </w:rPr>
        <w:t>[СКРИНШОТ 3 - Модуль «Учётная ставка»: 16%]</w:t>
      </w:r>
    </w:p>
    <w:p>
      <w:pPr>
        <w:spacing w:line="360" w:lineRule="auto"/>
        <w:ind w:firstLine="709"/>
      </w:pPr>
      <w:r>
        <w:t>В модуле «Инфляция» общий уровень принят 8% годовых (прогноз ЦБ на 2026-2027). Для сырья - 10% (опережающий рост цен на цемент) [10].</w:t>
      </w:r>
    </w:p>
    <w:p>
      <w:pPr>
        <w:ind w:firstLine="0"/>
        <w:jc w:val="center"/>
      </w:pPr>
      <w:r>
        <w:rPr>
          <w:i/>
          <w:sz w:val="24"/>
        </w:rPr>
        <w:t>[СКРИНШОТ 4 - Модуль «Инфляция»: значения по группам]</w:t>
      </w:r>
    </w:p>
    <w:p>
      <w:pPr>
        <w:spacing w:line="360" w:lineRule="auto"/>
        <w:ind w:firstLine="709"/>
      </w:pPr>
      <w:r>
        <w:t>В модуле «Налоги» установлена УСН 15% «доходы минус расходы» [18]. Страховые взносы - 30,2%. НДС не применяется.</w:t>
      </w:r>
    </w:p>
    <w:p>
      <w:pPr>
        <w:ind w:firstLine="0"/>
        <w:jc w:val="center"/>
      </w:pPr>
      <w:r>
        <w:rPr>
          <w:i/>
          <w:sz w:val="24"/>
        </w:rPr>
        <w:t>[СКРИНШОТ 5 - Модуль «Налоги»: УСН 15%, взносы 30,2%]</w:t>
      </w:r>
    </w:p>
    <w:p>
      <w:pPr>
        <w:spacing w:line="360" w:lineRule="auto"/>
        <w:ind w:firstLine="709"/>
      </w:pPr>
      <w:r>
        <w:t>Сводные параметры модели систематизированы в таблице 3.1.</w:t>
      </w:r>
    </w:p>
    <w:p>
      <w:pPr>
        <w:ind w:firstLine="0"/>
        <w:jc w:val="center"/>
      </w:pPr>
      <w:r>
        <w:rPr>
          <w:sz w:val="24"/>
        </w:rPr>
        <w:t>Таблица 3.1 - Основные параметры финансовой модели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Обоснование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Дата начала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01.03.2026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Регистрация, начало подготовки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Длительность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36 месяцев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Горизонт малого бизнеса [5]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Начало продаж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19.08.2026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Завершение пусконаладки (5 мес.)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Валюта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Рубли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Внутренний рынок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Ставка дисконтирования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16%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Ключевая ставка ЦБ + риск [5]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Инфляция (общая)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8%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Прогноз ЦБ РФ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Инфляция (сырьё)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10%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Рост цен на цемент [10]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Налоговый режим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УСН 15%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НК РФ, гл. 26.2 [18]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Страховые взносы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30,2%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НК РФ, ст. 425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Собственный капитал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7 000 000 руб.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2 x 3 500 000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Кредит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5 000 000 руб.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10%, 36 мес., отсрочка 12 мес.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Пр. цикл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2 дня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Формование + нач. твердение</w:t>
            </w:r>
          </w:p>
        </w:tc>
      </w:tr>
    </w:tbl>
    <w:p/>
    <w:p>
      <w:pPr>
        <w:spacing w:line="360" w:lineRule="auto"/>
        <w:ind w:firstLine="709"/>
      </w:pPr>
      <w:r>
        <w:t>Модуль «Настройка расчёта»: детализация - помесячная; амортизация - линейная; проценты по кредиту - ежемесячно [16].</w:t>
      </w:r>
    </w:p>
    <w:p>
      <w:pPr>
        <w:ind w:firstLine="0"/>
        <w:jc w:val="center"/>
      </w:pPr>
      <w:r>
        <w:rPr>
          <w:i/>
          <w:sz w:val="24"/>
        </w:rPr>
        <w:t>[СКРИНШОТ 6 - Модуль «Настройка расчёта»]</w:t>
      </w:r>
    </w:p>
    <w:p>
      <w:pPr>
        <w:spacing w:line="360" w:lineRule="auto"/>
        <w:ind w:firstLine="709"/>
      </w:pPr>
      <w:r>
        <w:t>Таким образом, в Project Expert сформирован каркас финансовой модели: временные рамки, номенклатура, макроокружение, налоги и параметры дисконтирования. Расчёт инвестиционного плана и операционной деятельности - в параграфах 3.2-3.6.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