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B42F" w14:textId="1DDE9065" w:rsidR="00460297" w:rsidRPr="009B23FB" w:rsidRDefault="00836004">
      <w:pPr>
        <w:rPr>
          <w:rFonts w:ascii="Times New Roman" w:hAnsi="Times New Roman" w:cs="Times New Roman"/>
          <w:sz w:val="28"/>
          <w:szCs w:val="28"/>
        </w:rPr>
      </w:pPr>
      <w:r w:rsidRPr="00836004">
        <w:rPr>
          <w:rFonts w:ascii="Times New Roman" w:hAnsi="Times New Roman" w:cs="Times New Roman"/>
          <w:sz w:val="28"/>
          <w:szCs w:val="28"/>
        </w:rPr>
        <w:t xml:space="preserve">[1] Бизнес-планирование: практикум: [учебное пособие] / Т.В. Козлова, Е. С. </w:t>
      </w:r>
      <w:proofErr w:type="spellStart"/>
      <w:r w:rsidRPr="00836004">
        <w:rPr>
          <w:rFonts w:ascii="Times New Roman" w:hAnsi="Times New Roman" w:cs="Times New Roman"/>
          <w:sz w:val="28"/>
          <w:szCs w:val="28"/>
        </w:rPr>
        <w:t>Замбржицкая</w:t>
      </w:r>
      <w:proofErr w:type="spellEnd"/>
      <w:r w:rsidRPr="00836004">
        <w:rPr>
          <w:rFonts w:ascii="Times New Roman" w:hAnsi="Times New Roman" w:cs="Times New Roman"/>
          <w:sz w:val="28"/>
          <w:szCs w:val="28"/>
        </w:rPr>
        <w:t>, Г.В. Кузина. – Челябинск: ООО «Полиграф-Ма- стер», 2019. – 112 с.</w:t>
      </w:r>
    </w:p>
    <w:p w14:paraId="791CE500" w14:textId="2F07900B" w:rsidR="00836004" w:rsidRDefault="008360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6004">
        <w:rPr>
          <w:rFonts w:ascii="Times New Roman" w:hAnsi="Times New Roman" w:cs="Times New Roman"/>
          <w:sz w:val="28"/>
          <w:szCs w:val="28"/>
        </w:rPr>
        <w:t>[2]</w:t>
      </w:r>
      <w:r w:rsidRPr="00836004">
        <w:t xml:space="preserve"> </w:t>
      </w:r>
      <w:r w:rsidRPr="00836004">
        <w:rPr>
          <w:rFonts w:ascii="Times New Roman" w:hAnsi="Times New Roman" w:cs="Times New Roman"/>
          <w:sz w:val="28"/>
          <w:szCs w:val="28"/>
        </w:rPr>
        <w:t>Бизнес-планирование: учебное пособие / Л.А. Баев, М.Г. Литке; под ред. Л.А. Баева. – Челябинск: Издательский центр ЮУрГУ, 2017. – 70 с.</w:t>
      </w:r>
    </w:p>
    <w:p w14:paraId="2D186D2B" w14:textId="47D4475E" w:rsidR="00836004" w:rsidRDefault="00836004">
      <w:pPr>
        <w:rPr>
          <w:rFonts w:ascii="Times New Roman" w:hAnsi="Times New Roman" w:cs="Times New Roman"/>
          <w:sz w:val="28"/>
          <w:szCs w:val="28"/>
        </w:rPr>
      </w:pPr>
      <w:r w:rsidRPr="00836004">
        <w:rPr>
          <w:rFonts w:ascii="Times New Roman" w:hAnsi="Times New Roman" w:cs="Times New Roman"/>
          <w:sz w:val="28"/>
          <w:szCs w:val="28"/>
        </w:rPr>
        <w:t>[3]</w:t>
      </w:r>
      <w:r w:rsidRPr="00836004">
        <w:t xml:space="preserve"> </w:t>
      </w:r>
      <w:r w:rsidRPr="00836004">
        <w:rPr>
          <w:rFonts w:ascii="Times New Roman" w:hAnsi="Times New Roman" w:cs="Times New Roman"/>
          <w:sz w:val="28"/>
          <w:szCs w:val="28"/>
        </w:rPr>
        <w:t>Бизнес-</w:t>
      </w:r>
      <w:proofErr w:type="gramStart"/>
      <w:r w:rsidRPr="00836004">
        <w:rPr>
          <w:rFonts w:ascii="Times New Roman" w:hAnsi="Times New Roman" w:cs="Times New Roman"/>
          <w:sz w:val="28"/>
          <w:szCs w:val="28"/>
        </w:rPr>
        <w:t>планирование :</w:t>
      </w:r>
      <w:proofErr w:type="gramEnd"/>
      <w:r w:rsidRPr="00836004">
        <w:rPr>
          <w:rFonts w:ascii="Times New Roman" w:hAnsi="Times New Roman" w:cs="Times New Roman"/>
          <w:sz w:val="28"/>
          <w:szCs w:val="28"/>
        </w:rPr>
        <w:t xml:space="preserve"> учебник и практикум для бакалавриата и магистра туры / А. А. Сергеев. — 3-е изд., </w:t>
      </w:r>
      <w:proofErr w:type="spellStart"/>
      <w:r w:rsidRPr="00836004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proofErr w:type="gramStart"/>
      <w:r w:rsidRPr="00836004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836004">
        <w:rPr>
          <w:rFonts w:ascii="Times New Roman" w:hAnsi="Times New Roman" w:cs="Times New Roman"/>
          <w:sz w:val="28"/>
          <w:szCs w:val="28"/>
        </w:rPr>
        <w:t xml:space="preserve"> и доп. — </w:t>
      </w:r>
      <w:proofErr w:type="gramStart"/>
      <w:r w:rsidRPr="00836004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836004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836004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836004">
        <w:rPr>
          <w:rFonts w:ascii="Times New Roman" w:hAnsi="Times New Roman" w:cs="Times New Roman"/>
          <w:sz w:val="28"/>
          <w:szCs w:val="28"/>
        </w:rPr>
        <w:t>, 2018. — 475 с.</w:t>
      </w:r>
    </w:p>
    <w:p w14:paraId="0F25631D" w14:textId="7026E07A" w:rsidR="00EE7F73" w:rsidRPr="00EE7F73" w:rsidRDefault="00EE7F73">
      <w:pPr>
        <w:rPr>
          <w:rFonts w:ascii="Times New Roman" w:hAnsi="Times New Roman" w:cs="Times New Roman"/>
          <w:sz w:val="28"/>
          <w:szCs w:val="28"/>
        </w:rPr>
      </w:pPr>
      <w:r w:rsidRPr="00EE7F73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E7F73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EE7F73">
        <w:rPr>
          <w:rFonts w:ascii="Times New Roman" w:hAnsi="Times New Roman" w:cs="Times New Roman"/>
          <w:sz w:val="28"/>
          <w:szCs w:val="28"/>
        </w:rPr>
        <w:t>Бгашев</w:t>
      </w:r>
      <w:proofErr w:type="spellEnd"/>
      <w:r w:rsidRPr="00EE7F73">
        <w:rPr>
          <w:rFonts w:ascii="Times New Roman" w:hAnsi="Times New Roman" w:cs="Times New Roman"/>
          <w:sz w:val="28"/>
          <w:szCs w:val="28"/>
        </w:rPr>
        <w:t xml:space="preserve">, М. В. </w:t>
      </w:r>
      <w:r w:rsidRPr="00EE7F73">
        <w:rPr>
          <w:rFonts w:ascii="Times New Roman" w:hAnsi="Times New Roman" w:cs="Times New Roman"/>
          <w:i/>
          <w:iCs/>
          <w:sz w:val="28"/>
          <w:szCs w:val="28"/>
        </w:rPr>
        <w:t>Бизнес-</w:t>
      </w:r>
      <w:proofErr w:type="gramStart"/>
      <w:r w:rsidRPr="00EE7F73">
        <w:rPr>
          <w:rFonts w:ascii="Times New Roman" w:hAnsi="Times New Roman" w:cs="Times New Roman"/>
          <w:i/>
          <w:iCs/>
          <w:sz w:val="28"/>
          <w:szCs w:val="28"/>
        </w:rPr>
        <w:t>планирование :</w:t>
      </w:r>
      <w:proofErr w:type="gramEnd"/>
      <w:r w:rsidRPr="00EE7F73">
        <w:rPr>
          <w:rFonts w:ascii="Times New Roman" w:hAnsi="Times New Roman" w:cs="Times New Roman"/>
          <w:i/>
          <w:iCs/>
          <w:sz w:val="28"/>
          <w:szCs w:val="28"/>
        </w:rPr>
        <w:t xml:space="preserve"> учебное пособие</w:t>
      </w:r>
      <w:r w:rsidRPr="00EE7F73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EE7F73">
        <w:rPr>
          <w:rFonts w:ascii="Times New Roman" w:hAnsi="Times New Roman" w:cs="Times New Roman"/>
          <w:sz w:val="28"/>
          <w:szCs w:val="28"/>
        </w:rPr>
        <w:t>Саратов :</w:t>
      </w:r>
      <w:proofErr w:type="gramEnd"/>
      <w:r w:rsidRPr="00EE7F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F73">
        <w:rPr>
          <w:rFonts w:ascii="Times New Roman" w:hAnsi="Times New Roman" w:cs="Times New Roman"/>
          <w:sz w:val="28"/>
          <w:szCs w:val="28"/>
        </w:rPr>
        <w:t>Амирит</w:t>
      </w:r>
      <w:proofErr w:type="spellEnd"/>
      <w:r w:rsidRPr="00EE7F73">
        <w:rPr>
          <w:rFonts w:ascii="Times New Roman" w:hAnsi="Times New Roman" w:cs="Times New Roman"/>
          <w:sz w:val="28"/>
          <w:szCs w:val="28"/>
        </w:rPr>
        <w:t>, 2018. — 282 с.</w:t>
      </w:r>
    </w:p>
    <w:p w14:paraId="33776CBD" w14:textId="01D4E9A0" w:rsidR="00E25015" w:rsidRPr="009B23FB" w:rsidRDefault="00836004">
      <w:pPr>
        <w:rPr>
          <w:rFonts w:ascii="Times New Roman" w:hAnsi="Times New Roman" w:cs="Times New Roman"/>
          <w:sz w:val="28"/>
          <w:szCs w:val="28"/>
        </w:rPr>
      </w:pPr>
      <w:r w:rsidRPr="00836004">
        <w:rPr>
          <w:rFonts w:ascii="Times New Roman" w:hAnsi="Times New Roman" w:cs="Times New Roman"/>
          <w:sz w:val="28"/>
          <w:szCs w:val="28"/>
        </w:rPr>
        <w:t>[</w:t>
      </w:r>
      <w:r w:rsidR="00A50F7A" w:rsidRPr="00A50F7A">
        <w:rPr>
          <w:rFonts w:ascii="Times New Roman" w:hAnsi="Times New Roman" w:cs="Times New Roman"/>
          <w:sz w:val="28"/>
          <w:szCs w:val="28"/>
        </w:rPr>
        <w:t>5</w:t>
      </w:r>
      <w:r w:rsidRPr="00836004">
        <w:rPr>
          <w:rFonts w:ascii="Times New Roman" w:hAnsi="Times New Roman" w:cs="Times New Roman"/>
          <w:sz w:val="28"/>
          <w:szCs w:val="28"/>
        </w:rPr>
        <w:t xml:space="preserve">] </w:t>
      </w:r>
      <w:hyperlink r:id="rId5" w:history="1">
        <w:r w:rsidRPr="00836004">
          <w:rPr>
            <w:rStyle w:val="ac"/>
            <w:rFonts w:ascii="Times New Roman" w:hAnsi="Times New Roman" w:cs="Times New Roman"/>
            <w:sz w:val="28"/>
            <w:szCs w:val="28"/>
          </w:rPr>
          <w:t>"Методические рекомендации по оценке эффективности инвестиционных проектов" (утв. Минэкономики РФ, Минфином РФ, Госстроем РФ 21.06.1999 N ВК 477) \ КонсультантПлюс</w:t>
        </w:r>
      </w:hyperlink>
    </w:p>
    <w:p w14:paraId="1F3CCEAB" w14:textId="3B68F004" w:rsidR="00E25015" w:rsidRPr="009B23FB" w:rsidRDefault="00E25015">
      <w:pPr>
        <w:rPr>
          <w:rFonts w:ascii="Times New Roman" w:hAnsi="Times New Roman" w:cs="Times New Roman"/>
          <w:sz w:val="28"/>
          <w:szCs w:val="28"/>
        </w:rPr>
      </w:pPr>
      <w:r w:rsidRPr="00E25015">
        <w:rPr>
          <w:rFonts w:ascii="Times New Roman" w:hAnsi="Times New Roman" w:cs="Times New Roman"/>
          <w:sz w:val="28"/>
          <w:szCs w:val="28"/>
        </w:rPr>
        <w:t>[</w:t>
      </w:r>
      <w:r w:rsidR="00A50F7A" w:rsidRPr="00A50F7A">
        <w:rPr>
          <w:rFonts w:ascii="Times New Roman" w:hAnsi="Times New Roman" w:cs="Times New Roman"/>
          <w:sz w:val="28"/>
          <w:szCs w:val="28"/>
        </w:rPr>
        <w:t>6</w:t>
      </w:r>
      <w:r w:rsidRPr="00E25015">
        <w:rPr>
          <w:rFonts w:ascii="Times New Roman" w:hAnsi="Times New Roman" w:cs="Times New Roman"/>
          <w:sz w:val="28"/>
          <w:szCs w:val="28"/>
        </w:rPr>
        <w:t>]</w:t>
      </w:r>
      <w:r w:rsidRPr="00E25015">
        <w:t xml:space="preserve"> </w:t>
      </w:r>
      <w:hyperlink r:id="rId6" w:history="1">
        <w:r w:rsidRPr="00E25015">
          <w:rPr>
            <w:rStyle w:val="ac"/>
            <w:rFonts w:ascii="Times New Roman" w:hAnsi="Times New Roman" w:cs="Times New Roman"/>
            <w:sz w:val="28"/>
            <w:szCs w:val="28"/>
          </w:rPr>
          <w:t>Программы инвестиционного анализа</w:t>
        </w:r>
      </w:hyperlink>
      <w:r w:rsidR="00836004">
        <w:rPr>
          <w:rFonts w:ascii="Times New Roman" w:hAnsi="Times New Roman" w:cs="Times New Roman"/>
          <w:sz w:val="28"/>
          <w:szCs w:val="28"/>
        </w:rPr>
        <w:br/>
      </w:r>
      <w:r w:rsidR="00836004" w:rsidRPr="00836004">
        <w:rPr>
          <w:rFonts w:ascii="Times New Roman" w:hAnsi="Times New Roman" w:cs="Times New Roman"/>
          <w:sz w:val="28"/>
          <w:szCs w:val="28"/>
        </w:rPr>
        <w:t>[</w:t>
      </w:r>
      <w:r w:rsidR="00A50F7A" w:rsidRPr="00A50F7A">
        <w:rPr>
          <w:rFonts w:ascii="Times New Roman" w:hAnsi="Times New Roman" w:cs="Times New Roman"/>
          <w:sz w:val="28"/>
          <w:szCs w:val="28"/>
        </w:rPr>
        <w:t>7</w:t>
      </w:r>
      <w:r w:rsidR="00836004" w:rsidRPr="00836004">
        <w:rPr>
          <w:rFonts w:ascii="Times New Roman" w:hAnsi="Times New Roman" w:cs="Times New Roman"/>
          <w:sz w:val="28"/>
          <w:szCs w:val="28"/>
        </w:rPr>
        <w:t>]</w:t>
      </w:r>
      <w:r w:rsidR="00836004" w:rsidRPr="00836004">
        <w:t xml:space="preserve"> </w:t>
      </w:r>
      <w:hyperlink r:id="rId7" w:history="1">
        <w:r w:rsidR="00836004" w:rsidRPr="00836004">
          <w:rPr>
            <w:rStyle w:val="ac"/>
            <w:rFonts w:ascii="Times New Roman" w:hAnsi="Times New Roman" w:cs="Times New Roman"/>
            <w:sz w:val="28"/>
            <w:szCs w:val="28"/>
          </w:rPr>
          <w:t>Автоматизированная система приготовления бетона</w:t>
        </w:r>
      </w:hyperlink>
    </w:p>
    <w:p w14:paraId="4909D827" w14:textId="0CD9364C" w:rsidR="00E25015" w:rsidRDefault="00A86B27">
      <w:pPr>
        <w:rPr>
          <w:rFonts w:ascii="Times New Roman" w:hAnsi="Times New Roman" w:cs="Times New Roman"/>
          <w:sz w:val="28"/>
          <w:szCs w:val="28"/>
        </w:rPr>
      </w:pPr>
      <w:r w:rsidRPr="00EE7F73">
        <w:rPr>
          <w:rFonts w:ascii="Times New Roman" w:hAnsi="Times New Roman" w:cs="Times New Roman"/>
          <w:sz w:val="28"/>
          <w:szCs w:val="28"/>
        </w:rPr>
        <w:t>[</w:t>
      </w:r>
      <w:r w:rsidR="00A50F7A" w:rsidRPr="00A50F7A">
        <w:rPr>
          <w:rFonts w:ascii="Times New Roman" w:hAnsi="Times New Roman" w:cs="Times New Roman"/>
          <w:sz w:val="28"/>
          <w:szCs w:val="28"/>
        </w:rPr>
        <w:t>8</w:t>
      </w:r>
      <w:r w:rsidRPr="00EE7F73">
        <w:rPr>
          <w:rFonts w:ascii="Times New Roman" w:hAnsi="Times New Roman" w:cs="Times New Roman"/>
          <w:sz w:val="28"/>
          <w:szCs w:val="28"/>
        </w:rPr>
        <w:t>]</w:t>
      </w:r>
      <w:r w:rsidRPr="00A86B27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hyperlink r:id="rId9" w:history="1">
          <w:r w:rsidR="00EE7F73" w:rsidRPr="00EE7F73">
            <w:rPr>
              <w:rStyle w:val="ac"/>
              <w:rFonts w:ascii="Times New Roman" w:hAnsi="Times New Roman" w:cs="Times New Roman"/>
              <w:sz w:val="28"/>
              <w:szCs w:val="28"/>
            </w:rPr>
            <w:t>Федеральный закон "О развитии малого и среднего предпринимательства в Российской Федерации" от 24.07.2007 N 209-ФЗ (последняя редакция) \ КонсультантПлюс</w:t>
          </w:r>
        </w:hyperlink>
      </w:hyperlink>
      <w:r w:rsidRPr="00A86B27">
        <w:rPr>
          <w:rFonts w:ascii="Times New Roman" w:hAnsi="Times New Roman" w:cs="Times New Roman"/>
          <w:sz w:val="28"/>
          <w:szCs w:val="28"/>
        </w:rPr>
        <w:br/>
      </w:r>
      <w:r w:rsidRPr="00EE7F73">
        <w:rPr>
          <w:rFonts w:ascii="Times New Roman" w:hAnsi="Times New Roman" w:cs="Times New Roman"/>
          <w:sz w:val="28"/>
          <w:szCs w:val="28"/>
        </w:rPr>
        <w:t>[</w:t>
      </w:r>
      <w:r w:rsidR="00A50F7A" w:rsidRPr="00A50F7A">
        <w:rPr>
          <w:rFonts w:ascii="Times New Roman" w:hAnsi="Times New Roman" w:cs="Times New Roman"/>
          <w:sz w:val="28"/>
          <w:szCs w:val="28"/>
        </w:rPr>
        <w:t>9</w:t>
      </w:r>
      <w:r w:rsidRPr="00EE7F73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="00EE7F73" w:rsidRPr="00EE7F73">
          <w:rPr>
            <w:rStyle w:val="ac"/>
            <w:rFonts w:ascii="Times New Roman" w:hAnsi="Times New Roman" w:cs="Times New Roman"/>
            <w:sz w:val="28"/>
            <w:szCs w:val="28"/>
          </w:rPr>
          <w:t>Критерии отнесения бизнеса к субъектам МСП</w:t>
        </w:r>
      </w:hyperlink>
    </w:p>
    <w:p w14:paraId="554C39A1" w14:textId="0615BB41" w:rsidR="00E25015" w:rsidRPr="00E25015" w:rsidRDefault="00E25015" w:rsidP="00E25015">
      <w:pPr>
        <w:rPr>
          <w:rFonts w:ascii="Times New Roman" w:hAnsi="Times New Roman" w:cs="Times New Roman"/>
          <w:sz w:val="28"/>
          <w:szCs w:val="28"/>
        </w:rPr>
      </w:pPr>
      <w:r w:rsidRPr="00E25015">
        <w:rPr>
          <w:rFonts w:ascii="Times New Roman" w:hAnsi="Times New Roman" w:cs="Times New Roman"/>
          <w:sz w:val="28"/>
          <w:szCs w:val="28"/>
        </w:rPr>
        <w:t>[1</w:t>
      </w:r>
      <w:r w:rsidR="001237F6" w:rsidRPr="001237F6">
        <w:rPr>
          <w:rFonts w:ascii="Times New Roman" w:hAnsi="Times New Roman" w:cs="Times New Roman"/>
          <w:sz w:val="28"/>
          <w:szCs w:val="28"/>
        </w:rPr>
        <w:t>0</w:t>
      </w:r>
      <w:r w:rsidRPr="00E25015">
        <w:rPr>
          <w:rFonts w:ascii="Times New Roman" w:hAnsi="Times New Roman" w:cs="Times New Roman"/>
          <w:sz w:val="28"/>
          <w:szCs w:val="28"/>
        </w:rPr>
        <w:t xml:space="preserve">] </w:t>
      </w:r>
      <w:hyperlink r:id="rId11" w:history="1">
        <w:proofErr w:type="spellStart"/>
        <w:r w:rsidRPr="00E25015">
          <w:rPr>
            <w:rStyle w:val="ac"/>
            <w:rFonts w:ascii="Times New Roman" w:hAnsi="Times New Roman" w:cs="Times New Roman"/>
            <w:sz w:val="28"/>
            <w:szCs w:val="28"/>
          </w:rPr>
          <w:t>BusinesStat</w:t>
        </w:r>
        <w:proofErr w:type="spellEnd"/>
        <w:r w:rsidRPr="00E25015">
          <w:rPr>
            <w:rStyle w:val="ac"/>
            <w:rFonts w:ascii="Times New Roman" w:hAnsi="Times New Roman" w:cs="Times New Roman"/>
            <w:sz w:val="28"/>
            <w:szCs w:val="28"/>
          </w:rPr>
          <w:t xml:space="preserve">. </w:t>
        </w:r>
        <w:r w:rsidRPr="00E25015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Анализ рынка тротуарной плитки в России в 2019–2023 гг., прогноз на 2024–2028 гг.:</w:t>
        </w:r>
      </w:hyperlink>
    </w:p>
    <w:p w14:paraId="684BB22C" w14:textId="086341D8" w:rsidR="00E25015" w:rsidRPr="00E25015" w:rsidRDefault="00E25015" w:rsidP="00E25015">
      <w:pPr>
        <w:rPr>
          <w:rFonts w:ascii="Times New Roman" w:hAnsi="Times New Roman" w:cs="Times New Roman"/>
          <w:sz w:val="28"/>
          <w:szCs w:val="28"/>
        </w:rPr>
      </w:pPr>
      <w:r w:rsidRPr="00E25015">
        <w:rPr>
          <w:rFonts w:ascii="Times New Roman" w:hAnsi="Times New Roman" w:cs="Times New Roman"/>
          <w:sz w:val="28"/>
          <w:szCs w:val="28"/>
        </w:rPr>
        <w:t>[</w:t>
      </w:r>
      <w:r w:rsidR="001237F6" w:rsidRPr="001237F6">
        <w:rPr>
          <w:rFonts w:ascii="Times New Roman" w:hAnsi="Times New Roman" w:cs="Times New Roman"/>
          <w:sz w:val="28"/>
          <w:szCs w:val="28"/>
        </w:rPr>
        <w:t>11</w:t>
      </w:r>
      <w:r w:rsidRPr="00E25015">
        <w:rPr>
          <w:rFonts w:ascii="Times New Roman" w:hAnsi="Times New Roman" w:cs="Times New Roman"/>
          <w:sz w:val="28"/>
          <w:szCs w:val="28"/>
        </w:rPr>
        <w:t xml:space="preserve">] </w:t>
      </w:r>
      <w:r w:rsidR="001237F6" w:rsidRPr="001237F6">
        <w:rPr>
          <w:rFonts w:ascii="Times New Roman" w:hAnsi="Times New Roman" w:cs="Times New Roman"/>
          <w:sz w:val="28"/>
          <w:szCs w:val="28"/>
        </w:rPr>
        <w:t>https://minstroyrf.gov.ru/press/6-5-mln-rossiyan-prinyali-uchastie-v-golosovanii-za-obekty-blagoustroystva/</w:t>
      </w:r>
    </w:p>
    <w:p w14:paraId="3AFF3646" w14:textId="2AA652C9" w:rsidR="00E25015" w:rsidRPr="00E25015" w:rsidRDefault="00E25015" w:rsidP="00E25015">
      <w:pPr>
        <w:rPr>
          <w:rFonts w:ascii="Times New Roman" w:hAnsi="Times New Roman" w:cs="Times New Roman"/>
          <w:sz w:val="28"/>
          <w:szCs w:val="28"/>
        </w:rPr>
      </w:pPr>
      <w:r w:rsidRPr="00E25015">
        <w:rPr>
          <w:rFonts w:ascii="Times New Roman" w:hAnsi="Times New Roman" w:cs="Times New Roman"/>
          <w:sz w:val="28"/>
          <w:szCs w:val="28"/>
        </w:rPr>
        <w:t>[</w:t>
      </w:r>
      <w:r w:rsidR="001237F6" w:rsidRPr="009B23FB">
        <w:rPr>
          <w:rFonts w:ascii="Times New Roman" w:hAnsi="Times New Roman" w:cs="Times New Roman"/>
          <w:sz w:val="28"/>
          <w:szCs w:val="28"/>
        </w:rPr>
        <w:t>12</w:t>
      </w:r>
      <w:r w:rsidRPr="00E25015">
        <w:rPr>
          <w:rFonts w:ascii="Times New Roman" w:hAnsi="Times New Roman" w:cs="Times New Roman"/>
          <w:sz w:val="28"/>
          <w:szCs w:val="28"/>
        </w:rPr>
        <w:t xml:space="preserve">] Национальные проекты России. </w:t>
      </w:r>
      <w:r w:rsidRPr="00E25015">
        <w:rPr>
          <w:rFonts w:ascii="Times New Roman" w:hAnsi="Times New Roman" w:cs="Times New Roman"/>
          <w:i/>
          <w:iCs/>
          <w:sz w:val="28"/>
          <w:szCs w:val="28"/>
        </w:rPr>
        <w:t>Формирование комфортной городской среды.</w:t>
      </w:r>
      <w:r w:rsidRPr="00E250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D1F1AB" w14:textId="0AB4586A" w:rsidR="00E25015" w:rsidRPr="00E25015" w:rsidRDefault="00E25015" w:rsidP="00E25015">
      <w:pPr>
        <w:rPr>
          <w:rFonts w:ascii="Times New Roman" w:hAnsi="Times New Roman" w:cs="Times New Roman"/>
          <w:sz w:val="28"/>
          <w:szCs w:val="28"/>
        </w:rPr>
      </w:pPr>
      <w:r w:rsidRPr="00E25015">
        <w:rPr>
          <w:rFonts w:ascii="Times New Roman" w:hAnsi="Times New Roman" w:cs="Times New Roman"/>
          <w:sz w:val="28"/>
          <w:szCs w:val="28"/>
        </w:rPr>
        <w:t>[</w:t>
      </w:r>
      <w:r w:rsidR="001237F6" w:rsidRPr="001237F6">
        <w:rPr>
          <w:rFonts w:ascii="Times New Roman" w:hAnsi="Times New Roman" w:cs="Times New Roman"/>
          <w:sz w:val="28"/>
          <w:szCs w:val="28"/>
        </w:rPr>
        <w:t>13</w:t>
      </w:r>
      <w:r w:rsidRPr="00E25015">
        <w:rPr>
          <w:rFonts w:ascii="Times New Roman" w:hAnsi="Times New Roman" w:cs="Times New Roman"/>
          <w:sz w:val="28"/>
          <w:szCs w:val="28"/>
        </w:rPr>
        <w:t xml:space="preserve">] Ассоциация производителей мелкоштучных бетонных изделий. </w:t>
      </w:r>
      <w:r w:rsidRPr="00E25015">
        <w:rPr>
          <w:rFonts w:ascii="Times New Roman" w:hAnsi="Times New Roman" w:cs="Times New Roman"/>
          <w:i/>
          <w:iCs/>
          <w:sz w:val="28"/>
          <w:szCs w:val="28"/>
        </w:rPr>
        <w:t>VI Научно-практическая конференция «Рынок тротуарной плитки — 2025».</w:t>
      </w:r>
      <w:r w:rsidRPr="00E250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1EACA0" w14:textId="77777777" w:rsidR="009B23FB" w:rsidRDefault="009B23FB">
      <w:pPr>
        <w:rPr>
          <w:rFonts w:ascii="Times New Roman" w:hAnsi="Times New Roman" w:cs="Times New Roman"/>
          <w:sz w:val="28"/>
          <w:szCs w:val="28"/>
        </w:rPr>
      </w:pPr>
      <w:r w:rsidRPr="009B23FB">
        <w:rPr>
          <w:rFonts w:ascii="Times New Roman" w:hAnsi="Times New Roman" w:cs="Times New Roman"/>
          <w:sz w:val="28"/>
          <w:szCs w:val="28"/>
        </w:rPr>
        <w:t>[14] https://cyberleninka.ru/article/n/sravnitelnyy-analiz-programmnyh-sredstv-otsenki-effektivnosti-investitsionnyh-proektov</w:t>
      </w:r>
      <w:r w:rsidRPr="009B23F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FCD187" w14:textId="1B63E0A4" w:rsidR="00E25015" w:rsidRPr="00E25015" w:rsidRDefault="009B23FB">
      <w:pPr>
        <w:rPr>
          <w:rFonts w:ascii="Times New Roman" w:hAnsi="Times New Roman" w:cs="Times New Roman"/>
          <w:sz w:val="28"/>
          <w:szCs w:val="28"/>
        </w:rPr>
      </w:pPr>
      <w:r w:rsidRPr="009B23FB">
        <w:rPr>
          <w:rFonts w:ascii="Times New Roman" w:hAnsi="Times New Roman" w:cs="Times New Roman"/>
          <w:sz w:val="28"/>
          <w:szCs w:val="28"/>
        </w:rPr>
        <w:t xml:space="preserve">[15] </w:t>
      </w:r>
      <w:hyperlink r:id="rId12" w:history="1">
        <w:r w:rsidRPr="009B23FB">
          <w:rPr>
            <w:rStyle w:val="ac"/>
            <w:rFonts w:ascii="Times New Roman" w:hAnsi="Times New Roman" w:cs="Times New Roman"/>
            <w:sz w:val="28"/>
            <w:szCs w:val="28"/>
          </w:rPr>
          <w:t>COMFAR : Ресурсы : ЮНИДО</w:t>
        </w:r>
      </w:hyperlink>
      <w:r w:rsidRPr="009B23FB">
        <w:rPr>
          <w:rFonts w:ascii="Times New Roman" w:hAnsi="Times New Roman" w:cs="Times New Roman"/>
          <w:sz w:val="28"/>
          <w:szCs w:val="28"/>
        </w:rPr>
        <w:br/>
        <w:t xml:space="preserve">[16] </w:t>
      </w:r>
      <w:hyperlink r:id="rId13" w:history="1">
        <w:r w:rsidRPr="009B23FB">
          <w:rPr>
            <w:rStyle w:val="ac"/>
            <w:rFonts w:ascii="Times New Roman" w:hAnsi="Times New Roman" w:cs="Times New Roman"/>
            <w:sz w:val="28"/>
            <w:szCs w:val="28"/>
          </w:rPr>
          <w:t>Project Expert: официальное описание продукта на сайте Expert Systems.</w:t>
        </w:r>
      </w:hyperlink>
    </w:p>
    <w:p w14:paraId="63E10F56" w14:textId="77777777" w:rsidR="00E25015" w:rsidRDefault="00E25015">
      <w:pPr>
        <w:rPr>
          <w:rFonts w:ascii="Times New Roman" w:hAnsi="Times New Roman" w:cs="Times New Roman"/>
          <w:sz w:val="28"/>
          <w:szCs w:val="28"/>
        </w:rPr>
      </w:pPr>
    </w:p>
    <w:p w14:paraId="0A78E4B8" w14:textId="77777777" w:rsidR="00E25015" w:rsidRDefault="00E25015">
      <w:pPr>
        <w:rPr>
          <w:rFonts w:ascii="Times New Roman" w:hAnsi="Times New Roman" w:cs="Times New Roman"/>
          <w:sz w:val="28"/>
          <w:szCs w:val="28"/>
        </w:rPr>
      </w:pPr>
    </w:p>
    <w:p w14:paraId="0771D812" w14:textId="77777777" w:rsidR="00E25015" w:rsidRDefault="00E25015">
      <w:pPr>
        <w:rPr>
          <w:rFonts w:ascii="Times New Roman" w:hAnsi="Times New Roman" w:cs="Times New Roman"/>
          <w:sz w:val="28"/>
          <w:szCs w:val="28"/>
        </w:rPr>
      </w:pPr>
    </w:p>
    <w:p w14:paraId="44791E93" w14:textId="77777777" w:rsidR="00E25015" w:rsidRDefault="00E25015">
      <w:pPr>
        <w:rPr>
          <w:rFonts w:ascii="Times New Roman" w:hAnsi="Times New Roman" w:cs="Times New Roman"/>
          <w:sz w:val="28"/>
          <w:szCs w:val="28"/>
        </w:rPr>
      </w:pPr>
    </w:p>
    <w:p w14:paraId="35521C97" w14:textId="77777777" w:rsidR="00E25015" w:rsidRPr="00E25015" w:rsidRDefault="00E25015">
      <w:pPr>
        <w:rPr>
          <w:rFonts w:ascii="Times New Roman" w:hAnsi="Times New Roman" w:cs="Times New Roman"/>
          <w:sz w:val="28"/>
          <w:szCs w:val="28"/>
        </w:rPr>
      </w:pPr>
    </w:p>
    <w:p>
      <w:r>
        <w:t>[17] ГОСТ 17608-2017. Плиты бетонные тротуарные. Технические условия. — Введ. 2018-03-01. — М.: Стандартинформ, 2017. — 28 с.</w:t>
      </w:r>
    </w:p>
    <w:p>
      <w:r>
        <w:t>[18] Российская Федерация. Законы. Налоговый кодекс Российской Федерации (часть вторая): Федеральный закон № 117-ФЗ. Глава 26.2 «Упрощённая система налогообложения». — КонсультантПлюс. — URL: https://www.consultant.ru/document/cons_doc_LAW_28165/ (дата обращения: 10.05.2026).</w:t>
      </w:r>
    </w:p>
    <w:p>
      <w:r>
        <w:t>[19] Российская Федерация. Законы. О закупках товаров, работ, услуг отдельными видами юридических лиц: Федеральный закон № 223-ФЗ: [ред. от 23.05.2025]. — КонсультантПлюс. — URL: https://www.consultant.ru/document/cons_doc_LAW_116964/ (дата обращения: 10.05.2026).</w:t>
      </w:r>
    </w:p>
    <w:p>
      <w:r>
        <w:t>[20] ГОСТ 26633-2012. Бетоны тяжёлые и мелкозернистые. Технические условия. — Введ. 2014-01-01. — М.: Стандартинформ, 2014. — 20 с.</w:t>
      </w:r>
    </w:p>
    <w:p>
      <w:r>
        <w:t>[21] Аренда производственных помещений в Рязанской области // ЦИАН. — URL: https://ryazan.cian.ru/snyat-sklad/ (дата обращения: 10.05.2026).</w:t>
      </w:r>
    </w:p>
    <w:p>
      <w:r>
        <w:t>[22] Пособие по технологии формования железобетонных изделий (к СНиП 3.09.01-85) / НИИЖБ. — М., 1988. — URL: https://zzbo.ru/wp-content/themes/storefront-child-theme-master/assets/doc/literatura/posobie_formovanie.pdf (дата обращения: 12.05.2026).</w:t>
      </w:r>
    </w:p>
    <w:p>
      <w:r>
        <w:t>[23] ГОСТ 7473-2010. Смеси бетонные. Технические условия. — Введ. 2012-01-01. — М.: Стандартинформ, 2011. — 16 с.</w:t>
      </w:r>
    </w:p>
    <w:p>
      <w:r>
        <w:t>[24] ГОСТ 31108-2020. Цементы общестроительные. Технические условия. — Введ. 2021-09-01. — М.: Стандартинформ, 2020. — 16 с.</w:t>
      </w:r>
    </w:p>
    <w:p>
      <w:r>
        <w:t>[25] ГОСТ 24211-2008. Добавки для бетонов и строительных растворов. Общие технические условия. — Введ. 2011-01-01. — М.: Стандартинформ, 2010. — 16 с.</w:t>
      </w:r>
    </w:p>
    <w:p>
      <w:r>
        <w:t>[26] ГОСТ 10180-2012. Бетоны. Методы определения прочности по контрольным образцам. — Введ. 2013-07-01. — М.: Стандартинформ, 2013. — 36 с.</w:t>
      </w:r>
    </w:p>
    <w:p>
      <w:r>
        <w:t>[27] ГОСТ 13015-2012. Изделия бетонные и железобетонные для строительства. Общие технические требования. — Введ. 2014-01-01. — М.: Стандартинформ, 2014. — 18 с.</w:t>
      </w:r>
    </w:p>
    <w:p>
      <w:r>
        <w:t>[28] ООО «Стройтехника». Прайс-лист на вибропрессы серии «Рифей». — URL: https://v-press.ru/payment/price/ (дата обращения: 12.05.2026).</w:t>
      </w:r>
    </w:p>
    <w:p>
      <w:r>
        <w:t>[29] ГОСТ 8736-2014. Песок для строительных работ. Технические условия. — Введ. 2015-04-01. — М.: Стандартинформ, 2015. — 20 с.</w:t>
      </w:r>
    </w:p>
    <w:p>
      <w:r>
        <w:t>[30] ГОСТ 8267-93. Щебень и гравий из плотных горных пород для строительных работ. — Введ. 1995-01-01. — М.: Издательство стандартов, 1994. — 24 с.</w:t>
      </w:r>
    </w:p>
    <w:sectPr w:rsidR="00E25015" w:rsidRPr="00E25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DE"/>
    <w:rsid w:val="001237F6"/>
    <w:rsid w:val="001C7DB0"/>
    <w:rsid w:val="003A1A47"/>
    <w:rsid w:val="00460297"/>
    <w:rsid w:val="00765CDE"/>
    <w:rsid w:val="00810F7A"/>
    <w:rsid w:val="00836004"/>
    <w:rsid w:val="009B23FB"/>
    <w:rsid w:val="009D57ED"/>
    <w:rsid w:val="00A50F7A"/>
    <w:rsid w:val="00A86B27"/>
    <w:rsid w:val="00B1530B"/>
    <w:rsid w:val="00C14F05"/>
    <w:rsid w:val="00E25015"/>
    <w:rsid w:val="00EE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7BC27"/>
  <w15:chartTrackingRefBased/>
  <w15:docId w15:val="{0AE6AFB0-337B-436D-8DFD-4A48EB0EF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5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5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5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5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5C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5C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5C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5C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5C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5C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5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5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5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5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5C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5C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5C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5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5C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5CD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3600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36004"/>
    <w:rPr>
      <w:color w:val="605E5C"/>
      <w:shd w:val="clear" w:color="auto" w:fill="E1DFDD"/>
    </w:rPr>
  </w:style>
  <w:style w:type="paragraph" w:styleId="ae">
    <w:name w:val="caption"/>
    <w:basedOn w:val="a"/>
    <w:next w:val="a"/>
    <w:uiPriority w:val="35"/>
    <w:unhideWhenUsed/>
    <w:qFormat/>
    <w:rsid w:val="00E2501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consultant.ru/document/cons_doc_LAW_52144/?utm_source=chatgpt.com" TargetMode="External"/><Relationship Id="rId13" Type="http://schemas.openxmlformats.org/officeDocument/2006/relationships/hyperlink" Target="https://expert-systems.ru/project-exper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wen.ru/project/avtomatizirovannaya-sistema-prigotovleniya-betona" TargetMode="External"/><Relationship Id="rId12" Type="http://schemas.openxmlformats.org/officeDocument/2006/relationships/hyperlink" Target="https://unido.ru/resources/comfar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cfin.ru/software/invest/" TargetMode="External"/><Relationship Id="rId11" Type="http://schemas.openxmlformats.org/officeDocument/2006/relationships/hyperlink" Target="https://businesstat.ru/images/demo/paving_slabs_russia_demo_businesstat.pdf" TargetMode="External"/><Relationship Id="rId5" Type="http://schemas.openxmlformats.org/officeDocument/2006/relationships/hyperlink" Target="https://www.consultant.ru/document/cons_doc_LAW_28224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orpmsp.ru/to-business/kriterii-otneseniya-predprinimateley-k-subektam-ms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document/cons_doc_LAW_52144/?ysclid=mnulepitre34686886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7AAC9-25EA-42B7-9727-944B68E1E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253</Words>
  <Characters>2118</Characters>
  <Application>Microsoft Office Word</Application>
  <DocSecurity>0</DocSecurity>
  <Lines>40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ZhiGor サスケ君</dc:creator>
  <cp:keywords/>
  <dc:description/>
  <cp:lastModifiedBy>ZhiGor サスケ君</cp:lastModifiedBy>
  <cp:revision>3</cp:revision>
  <dcterms:created xsi:type="dcterms:W3CDTF">2026-04-11T16:32:00Z</dcterms:created>
  <dcterms:modified xsi:type="dcterms:W3CDTF">2026-04-11T17:54:00Z</dcterms:modified>
</cp:coreProperties>
</file>