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b/>
          <w:sz w:val="28"/>
        </w:rPr>
        <w:t>2.1. Общая характеристика предприятия и выпускаемой продукции</w:t>
      </w:r>
    </w:p>
    <w:p/>
    <w:p>
      <w:pPr>
        <w:spacing w:line="360" w:lineRule="auto"/>
        <w:ind w:firstLine="709"/>
      </w:pPr>
      <w:r>
        <w:t>В настоящей главе рассматривается создание малого производственного предприятия по выпуску тротуарной плитки методом вибропрессования. Проектируемое предприятие организуется в форме общества с ограниченной ответственностью, что обусловлено рядом причин организационного и экономического характера.</w:t>
      </w:r>
    </w:p>
    <w:p>
      <w:pPr>
        <w:spacing w:line="360" w:lineRule="auto"/>
        <w:ind w:firstLine="709"/>
      </w:pPr>
      <w:r>
        <w:t>Выбор организационно-правовой формы ООО определяется следующими факторами. Во-первых, ответственность учредителя ограничивается размером вклада в уставный капитал, что существенно снижает личные финансовые риски при реализации инвестиционного проекта с капитальными вложениями свыше шести миллионов рублей [8]. Во-вторых, данная форма позволяет в дальнейшем привлекать дополнительных участников без реорганизации юридического лица — достаточно внесения изменений в учредительные документы. В-третьих, для работы с корпоративными заказчиками и участия в государственных закупках по Федеральному закону № 223-ФЗ статус юридического лица является необходимым условием [4]. Наконец, при возможной продаже бизнеса передача доли в ООО юридически проще и менее затратна, чем отчуждение совокупности активов индивидуального предпринимателя.</w:t>
      </w:r>
    </w:p>
    <w:p>
      <w:pPr>
        <w:spacing w:line="360" w:lineRule="auto"/>
        <w:ind w:firstLine="709"/>
      </w:pPr>
      <w:r>
        <w:t>В качестве системы налогообложения для проектируемого предприятия принята упрощённая система налогообложения с объектом «доходы, уменьшенные на величину расходов» (ставка 15 процентов). Обоснованность данного выбора определяется спецификой производственной деятельности: доля материальных затрат в выручке предприятия по производству тротуарной плитки составляет порядка 40–50 процентов, что делает учёт расходов при формировании налоговой базы экономически целесообразным [3]. Упрощённая система освобождает предприятие от обязанности исчисления и уплаты НДС, сокращает объём бухгалтерской и налоговой отчётности. Предельный размер дохода, при котором допускается применение данного режима, в 2026 году составляет 450 млн рублей [3]; плановая выручка рассматриваемого предприятия не превысит данный порог в течение всего горизонта проекта.</w:t>
      </w:r>
    </w:p>
    <w:p>
      <w:pPr>
        <w:spacing w:line="360" w:lineRule="auto"/>
        <w:ind w:firstLine="709"/>
      </w:pPr>
      <w:r>
        <w:t>Местом размещения производства выбрана Рязанская область. Данное решение обусловлено совокупностью логистических, экономических и рыночных предпосылок. С точки зрения транспортной доступности, регион расположен в 180 км от Москвы по федеральной автомобильной дороге М-5 «Урал»; через область проходят также трассы Р-132 и Р-22, обеспечивающие связь с Тульской, Владимирской, Тамбовской областями. Близость к карьерам нерудных материалов Рязанской и Тульской областей сокращает транспортную составляющую в стоимости песка и щебня — основных компонентов бетонной смеси.</w:t>
      </w:r>
    </w:p>
    <w:p>
      <w:pPr>
        <w:spacing w:line="360" w:lineRule="auto"/>
        <w:ind w:firstLine="709"/>
      </w:pPr>
      <w:r>
        <w:t>Экономическим преимуществом размещения является относительно невысокая стоимость производственных ресурсов. По данным актуальных предложений аренды промышленных площадей, ставка для производственных помещений в Рязанской области находится в диапазоне 300–400 руб./м² в месяц, тогда как в Московской области аналогичные объекты предлагаются по 600–1000 руб./м² в месяц [9]. Среднемесячная заработная плата производственного персонала в регионе ниже столичного уровня на 30–40 процентов, что формирует более рациональную структуру фонда оплаты труда без ущерба для качества подбора кадров.</w:t>
      </w:r>
    </w:p>
    <w:p>
      <w:pPr>
        <w:spacing w:line="360" w:lineRule="auto"/>
        <w:ind w:firstLine="709"/>
      </w:pPr>
      <w:r>
        <w:t>С позиции рыночного спроса регион характеризуется активной реализацией мероприятий по благоустройству городской среды. В рамках федерального проекта «Формирование комфортной городской среды» к 2023 году в Российской Федерации благоустроено более 55 тысяч территорий, в том числе 32 793 дворовых и 22 674 общественных пространства [11]; по обновлённым данным официального ресурса национальных проектов, совокупное число преобразованных объектов превышает 65 тысяч [12]. Рязанская область участвует в данной программе; объём работ по устройству покрытий из вибропрессованных изделий сохраняет положительную динамику. Дополнительным фактором спроса является развитие индивидуального жилищного строительства в регионе, формирующее устойчивый поток заказов со стороны частных домовладельцев. При этом в самой Рязанской области отсутствуют крупные федеральные производители тротуарной плитки уровня ГК «Выбор», что создаёт рыночную нишу для локального предприятия с коротким плечом доставки [13].</w:t>
      </w:r>
    </w:p>
    <w:p>
      <w:pPr>
        <w:spacing w:line="360" w:lineRule="auto"/>
        <w:ind w:firstLine="709"/>
      </w:pPr>
      <w:r>
        <w:t>Ассортимент выпускаемой продукции сформирован с учётом структуры рыночного спроса и требований ГОСТ 17608-2017 «Плиты бетонные тротуарные. Технические условия» [1]. Номенклатура включает шесть базовых видов изделий, различающихся по геометрии, толщине и группе эксплуатации. Состав продуктовой линейки и её основные характеристики представлены в таблице 2.1.</w:t>
      </w:r>
    </w:p>
    <w:p>
      <w:pPr>
        <w:ind w:firstLine="0"/>
        <w:jc w:val="center"/>
      </w:pPr>
      <w:r>
        <w:rPr>
          <w:sz w:val="24"/>
        </w:rPr>
        <w:t>Таблица 2.1 — Ассортимент выпускаемой продукции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Размер, мм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Толщ., мм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Доля, 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Квадрат «Стандарт»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300×300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Пешеходные дорожки, садовые территории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Квадрат «Универсал»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300×300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Б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Дворовые территории, парковки л/а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Брусчатка «Кирпичик»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200×100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Б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Тротуары, площади, въездные группы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Шестигранник «Соты»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215×240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Б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Декоративное мощение, набережные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Волна «Классик»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222×110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Б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Пешеходные зоны повышенной нагрузки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Газонная решётка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600×400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Экопарковки, укрепление газонов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</w:tbl>
    <w:p/>
    <w:p>
      <w:pPr>
        <w:spacing w:line="360" w:lineRule="auto"/>
        <w:ind w:firstLine="709"/>
      </w:pPr>
      <w:r>
        <w:t>Основу ассортимента составляет брусчатка 200×100×60 мм — наиболее востребованная позиция на рынке вибропрессованных изделий, допускающая множество схем укладки (ёлочка, плетёнка, кирпичная кладка) и применяемая при благоустройстве как муниципальных, так и частных территорий; на неё приходится 35 процентов планового объёма выпуска. Второй по значимости является квадратная плитка 300×300×60 мм (25 процентов), востребованная при устройстве дворовых территорий жилых комплексов в силу высокой скорости укладки крупноформатных элементов. Совокупная доля двух указанных позиций — 60 процентов — обеспечивает стабильную загрузку оборудования за счёт устойчивого базового спроса; остальные четыре вида продукции расширяют предложение в декоративном и специальном сегментах.</w:t>
      </w:r>
    </w:p>
    <w:p>
      <w:pPr>
        <w:spacing w:line="360" w:lineRule="auto"/>
        <w:ind w:firstLine="709"/>
      </w:pPr>
      <w:r>
        <w:t>В соответствии с ГОСТ 17608-2017, бетонные тротуарные плиты подразделяются на группы по условиям эксплуатации [1]. Группа А предназначена для пешеходных зон, не подверженных воздействию транспортных нагрузок. Группа Б охватывает территории с возможным заездом автомобилей массой до 3,5 тонн — дворы, тротуары вдоль дорог, парковочные карманы. Группа В рассчитана на регулярное воздействие тяжёлого транспорта: автостоянки грузовых автомобилей, территории АЗС, пожарные проезды. Для каждой группы стандарт устанавливает минимальные требования по толщине изделия, классу бетона, прочности, морозостойкости и истираемости. Нормативные значения указанных показателей систематизированы в таблице 2.2.</w:t>
      </w:r>
    </w:p>
    <w:p>
      <w:pPr>
        <w:ind w:firstLine="0"/>
        <w:jc w:val="center"/>
      </w:pPr>
      <w:r>
        <w:rPr>
          <w:sz w:val="24"/>
        </w:rPr>
        <w:t>Таблица 2.2 — Требования к плитам по группам эксплуатации (ГОСТ 17608-2017)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Группа 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Группа 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Группа В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Минимальная толщина, мм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80–100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Класс бетона по прочности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В22,5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В25–В30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В30–В35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Прочность на сжатие, МПа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≥28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≥30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≥35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Прочность на растяжение при изгибе, МПа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≥3,5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≥4,0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≥4,5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Морозостойкость, циклов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F100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F200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F200–F300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Истираемость, г/см²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≤0,8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≤0,7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≤0,5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Водопоглощение, 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≤6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≤5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≤5</w:t>
            </w:r>
          </w:p>
        </w:tc>
      </w:tr>
    </w:tbl>
    <w:p/>
    <w:p>
      <w:pPr>
        <w:spacing w:line="360" w:lineRule="auto"/>
        <w:ind w:firstLine="709"/>
      </w:pPr>
      <w:r>
        <w:t>Для проектируемого предприятия в качестве базового уровня качества принят класс бетона не ниже В25 при морозостойкости не менее F200 циклов и истираемости не более 0,7 г/см², что соответствует требованиям группы Б и обеспечивает применимость продукции на подавляющем большинстве объектов городского и загородного благоустройства [1]. Достижение указанных характеристик обеспечивается применением метода вибропрессования жёстких бетонных смесей с водоцементным отношением 0,36–0,40, что формирует плотную мелкопористую структуру цементного камня с минимальным объёмом капиллярных пор [4], [5]. Подробное описание технологического процесса и его параметров приводится в параграфе 2.2 настоящей работы.</w:t>
      </w:r>
    </w:p>
    <w:p>
      <w:pPr>
        <w:spacing w:line="360" w:lineRule="auto"/>
        <w:ind w:firstLine="709"/>
      </w:pPr>
      <w:r>
        <w:t>Целевые клиентские сегменты определены на основании анализа структуры потребления тротуарной плитки в Центральном федеральном округе [10]. Планируемое распределение выручки по каналам сбыта представлено в таблице 2.3.</w:t>
      </w:r>
    </w:p>
    <w:p>
      <w:pPr>
        <w:ind w:firstLine="0"/>
        <w:jc w:val="center"/>
      </w:pPr>
      <w:r>
        <w:rPr>
          <w:sz w:val="24"/>
        </w:rPr>
        <w:t>Таблица 2.3 — Целевые клиентские сегменты и каналы сбыта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Сегмент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Доля, 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Условия работы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Подрядчики благоустройства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Компании-исполнители муниципальных контрактов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Крупные партии, отсрочка 30–45 дн.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Строительные компании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Застройщики МКД и коттеджных посёлков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Сезонные договоры, документация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Строительные сети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Розничные магазины стройматериалов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Поставка под реализацию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Госзакупки (44-ФЗ, 223-ФЗ)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Прямые контракты с муниципалитетами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Обеспечение заявки, сертификаты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Частные заказчики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Владельцы загородных домов, дач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Мелкие партии, предоплата</w:t>
            </w:r>
          </w:p>
        </w:tc>
      </w:tr>
    </w:tbl>
    <w:p/>
    <w:p>
      <w:pPr>
        <w:spacing w:line="360" w:lineRule="auto"/>
        <w:ind w:firstLine="709"/>
      </w:pPr>
      <w:r>
        <w:t>Как следует из представленных данных, около 60 процентов выручки формируется за счёт работы с корпоративными заказчиками (подрядные организации и строительные компании), что обеспечивает регулярные крупные заказы и позволяет планировать загрузку оборудования на перспективу. Участие в государственных закупках (10 процентов) служит дополнительным каналом, обеспечивающим стабильность в периоды сезонного снижения коммерческого спроса. Розничный канал и работа с частными клиентами (30 процентов совокупно) формируют более высокую маржинальность при меньших объёмах отгрузки, что позволяет компенсировать ценовое давление со стороны крупных заказчиков.</w:t>
      </w:r>
    </w:p>
    <w:p>
      <w:pPr>
        <w:spacing w:line="360" w:lineRule="auto"/>
        <w:ind w:firstLine="709"/>
      </w:pPr>
      <w:r>
        <w:t>Таким образом, проектируемое предприятие представляет собой малое производство в организационно-правовой форме ООО, применяющее упрощённую систему налогообложения и ориентированное на выпуск шести видов вибропрессованной тротуарной плитки, соответствующей требованиям ГОСТ 17608-2017. Размещение в Рязанской области обеспечивает сочетание доступной стоимости ресурсов, близости к рынкам сбыта ЦФО и наличия рыночной ниши при отсутствии крупных региональных конкурентов. Диверсифицированная система каналов сбыта — от прямых корпоративных продаж до розничных поставок и госзакупок — снижает зависимость предприятия от одного типа заказчиков и способствует устойчивой загрузке производственных мощностей.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